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eastAsia="Arial" w:hAnsi="Arial" w:cs="Times New Roman"/>
          <w:color w:val="auto"/>
          <w:sz w:val="24"/>
          <w:szCs w:val="22"/>
          <w:lang w:val="en-GB"/>
        </w:rPr>
        <w:id w:val="1782833885"/>
        <w:docPartObj>
          <w:docPartGallery w:val="Table of Contents"/>
          <w:docPartUnique/>
        </w:docPartObj>
      </w:sdtPr>
      <w:sdtEndPr>
        <w:rPr>
          <w:b/>
          <w:bCs/>
        </w:rPr>
      </w:sdtEndPr>
      <w:sdtContent>
        <w:p w14:paraId="1AC872CC" w14:textId="0096D2CE" w:rsidR="00775C2B" w:rsidRPr="00775C2B" w:rsidRDefault="00775C2B">
          <w:pPr>
            <w:pStyle w:val="TOCHeading"/>
            <w:rPr>
              <w:rStyle w:val="Heading1Char"/>
              <w:rFonts w:eastAsiaTheme="majorEastAsia"/>
            </w:rPr>
          </w:pPr>
          <w:r>
            <w:rPr>
              <w:rStyle w:val="Heading1Char"/>
              <w:rFonts w:eastAsiaTheme="majorEastAsia"/>
            </w:rPr>
            <w:t>Contents</w:t>
          </w:r>
        </w:p>
        <w:p w14:paraId="1B3B78C4" w14:textId="48B0D845" w:rsidR="00A12294" w:rsidRDefault="00775C2B">
          <w:pPr>
            <w:pStyle w:val="TOC1"/>
            <w:rPr>
              <w:rFonts w:asciiTheme="minorHAnsi" w:eastAsiaTheme="minorEastAsia" w:hAnsiTheme="minorHAnsi" w:cstheme="minorBidi"/>
              <w:noProof/>
              <w:kern w:val="2"/>
              <w:szCs w:val="24"/>
              <w:lang w:eastAsia="en-GB"/>
              <w14:ligatures w14:val="standardContextual"/>
            </w:rPr>
          </w:pPr>
          <w:r>
            <w:fldChar w:fldCharType="begin"/>
          </w:r>
          <w:r>
            <w:instrText xml:space="preserve"> TOC \o "1-3" \h \z \u </w:instrText>
          </w:r>
          <w:r>
            <w:fldChar w:fldCharType="separate"/>
          </w:r>
          <w:hyperlink w:anchor="_Toc225146203" w:history="1">
            <w:r>
              <w:rPr>
                <w:rStyle w:val="Hyperlink"/>
                <w:noProof/>
              </w:rPr>
              <w:t>Introduction</w:t>
            </w:r>
            <w:r>
              <w:rPr>
                <w:noProof/>
                <w:webHidden/>
              </w:rPr>
              <w:tab/>
            </w:r>
            <w:r>
              <w:rPr>
                <w:noProof/>
                <w:webHidden/>
              </w:rPr>
              <w:fldChar w:fldCharType="begin"/>
            </w:r>
            <w:r>
              <w:rPr>
                <w:noProof/>
                <w:webHidden/>
              </w:rPr>
              <w:instrText xml:space="preserve"> PAGEREF _Toc225146203 \h </w:instrText>
            </w:r>
            <w:r>
              <w:rPr>
                <w:noProof/>
                <w:webHidden/>
              </w:rPr>
            </w:r>
            <w:r>
              <w:rPr>
                <w:noProof/>
                <w:webHidden/>
              </w:rPr>
              <w:fldChar w:fldCharType="separate"/>
            </w:r>
            <w:r>
              <w:rPr>
                <w:noProof/>
                <w:webHidden/>
              </w:rPr>
              <w:t>3</w:t>
            </w:r>
            <w:r>
              <w:rPr>
                <w:noProof/>
                <w:webHidden/>
              </w:rPr>
              <w:fldChar w:fldCharType="end"/>
            </w:r>
          </w:hyperlink>
        </w:p>
        <w:p w14:paraId="5394ADAD" w14:textId="2EE81420" w:rsidR="00A12294" w:rsidRDefault="00A12294">
          <w:pPr>
            <w:pStyle w:val="TOC1"/>
            <w:rPr>
              <w:rFonts w:asciiTheme="minorHAnsi" w:eastAsiaTheme="minorEastAsia" w:hAnsiTheme="minorHAnsi" w:cstheme="minorBidi"/>
              <w:noProof/>
              <w:kern w:val="2"/>
              <w:szCs w:val="24"/>
              <w:lang w:eastAsia="en-GB"/>
              <w14:ligatures w14:val="standardContextual"/>
            </w:rPr>
          </w:pPr>
          <w:hyperlink w:anchor="_Toc225146204" w:history="1">
            <w:r>
              <w:rPr>
                <w:rStyle w:val="Hyperlink"/>
                <w:noProof/>
              </w:rPr>
              <w:t>Methodology</w:t>
            </w:r>
            <w:r>
              <w:rPr>
                <w:noProof/>
                <w:webHidden/>
              </w:rPr>
              <w:tab/>
            </w:r>
            <w:r>
              <w:rPr>
                <w:noProof/>
                <w:webHidden/>
              </w:rPr>
              <w:fldChar w:fldCharType="begin"/>
            </w:r>
            <w:r>
              <w:rPr>
                <w:noProof/>
                <w:webHidden/>
              </w:rPr>
              <w:instrText xml:space="preserve"> PAGEREF _Toc225146204 \h </w:instrText>
            </w:r>
            <w:r>
              <w:rPr>
                <w:noProof/>
                <w:webHidden/>
              </w:rPr>
            </w:r>
            <w:r>
              <w:rPr>
                <w:noProof/>
                <w:webHidden/>
              </w:rPr>
              <w:fldChar w:fldCharType="separate"/>
            </w:r>
            <w:r>
              <w:rPr>
                <w:noProof/>
                <w:webHidden/>
              </w:rPr>
              <w:t>5</w:t>
            </w:r>
            <w:r>
              <w:rPr>
                <w:noProof/>
                <w:webHidden/>
              </w:rPr>
              <w:fldChar w:fldCharType="end"/>
            </w:r>
          </w:hyperlink>
        </w:p>
        <w:p w14:paraId="09D7A1B7" w14:textId="24FE978B" w:rsidR="00A12294" w:rsidRDefault="00A1229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25146205" w:history="1">
            <w:r>
              <w:rPr>
                <w:rStyle w:val="Hyperlink"/>
                <w:noProof/>
              </w:rPr>
              <w:t>Sampling</w:t>
            </w:r>
            <w:r>
              <w:rPr>
                <w:noProof/>
                <w:webHidden/>
              </w:rPr>
              <w:tab/>
            </w:r>
            <w:r>
              <w:rPr>
                <w:noProof/>
                <w:webHidden/>
              </w:rPr>
              <w:fldChar w:fldCharType="begin"/>
            </w:r>
            <w:r>
              <w:rPr>
                <w:noProof/>
                <w:webHidden/>
              </w:rPr>
              <w:instrText xml:space="preserve"> PAGEREF _Toc225146205 \h </w:instrText>
            </w:r>
            <w:r>
              <w:rPr>
                <w:noProof/>
                <w:webHidden/>
              </w:rPr>
            </w:r>
            <w:r>
              <w:rPr>
                <w:noProof/>
                <w:webHidden/>
              </w:rPr>
              <w:fldChar w:fldCharType="separate"/>
            </w:r>
            <w:r>
              <w:rPr>
                <w:noProof/>
                <w:webHidden/>
              </w:rPr>
              <w:t>5</w:t>
            </w:r>
            <w:r>
              <w:rPr>
                <w:noProof/>
                <w:webHidden/>
              </w:rPr>
              <w:fldChar w:fldCharType="end"/>
            </w:r>
          </w:hyperlink>
        </w:p>
        <w:p w14:paraId="3063911E" w14:textId="1E8F90AE" w:rsidR="00A12294" w:rsidRDefault="00A1229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25146206" w:history="1">
            <w:r>
              <w:rPr>
                <w:rStyle w:val="Hyperlink"/>
                <w:noProof/>
              </w:rPr>
              <w:t>DNA extraction methods</w:t>
            </w:r>
            <w:r>
              <w:rPr>
                <w:noProof/>
                <w:webHidden/>
              </w:rPr>
              <w:tab/>
            </w:r>
            <w:r>
              <w:rPr>
                <w:noProof/>
                <w:webHidden/>
              </w:rPr>
              <w:fldChar w:fldCharType="begin"/>
            </w:r>
            <w:r>
              <w:rPr>
                <w:noProof/>
                <w:webHidden/>
              </w:rPr>
              <w:instrText xml:space="preserve"> PAGEREF _Toc225146206 \h </w:instrText>
            </w:r>
            <w:r>
              <w:rPr>
                <w:noProof/>
                <w:webHidden/>
              </w:rPr>
            </w:r>
            <w:r>
              <w:rPr>
                <w:noProof/>
                <w:webHidden/>
              </w:rPr>
              <w:fldChar w:fldCharType="separate"/>
            </w:r>
            <w:r>
              <w:rPr>
                <w:noProof/>
                <w:webHidden/>
              </w:rPr>
              <w:t>7</w:t>
            </w:r>
            <w:r>
              <w:rPr>
                <w:noProof/>
                <w:webHidden/>
              </w:rPr>
              <w:fldChar w:fldCharType="end"/>
            </w:r>
          </w:hyperlink>
        </w:p>
        <w:p w14:paraId="76C3091B" w14:textId="250DF698" w:rsidR="00A12294" w:rsidRDefault="00A1229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25146207" w:history="1">
            <w:r>
              <w:rPr>
                <w:rStyle w:val="Hyperlink"/>
                <w:noProof/>
              </w:rPr>
              <w:t>PCR amplification</w:t>
            </w:r>
            <w:r>
              <w:rPr>
                <w:noProof/>
                <w:webHidden/>
              </w:rPr>
              <w:tab/>
            </w:r>
            <w:r>
              <w:rPr>
                <w:noProof/>
                <w:webHidden/>
              </w:rPr>
              <w:fldChar w:fldCharType="begin"/>
            </w:r>
            <w:r>
              <w:rPr>
                <w:noProof/>
                <w:webHidden/>
              </w:rPr>
              <w:instrText xml:space="preserve"> PAGEREF _Toc225146207 \h </w:instrText>
            </w:r>
            <w:r>
              <w:rPr>
                <w:noProof/>
                <w:webHidden/>
              </w:rPr>
            </w:r>
            <w:r>
              <w:rPr>
                <w:noProof/>
                <w:webHidden/>
              </w:rPr>
              <w:fldChar w:fldCharType="separate"/>
            </w:r>
            <w:r>
              <w:rPr>
                <w:noProof/>
                <w:webHidden/>
              </w:rPr>
              <w:t>7</w:t>
            </w:r>
            <w:r>
              <w:rPr>
                <w:noProof/>
                <w:webHidden/>
              </w:rPr>
              <w:fldChar w:fldCharType="end"/>
            </w:r>
          </w:hyperlink>
        </w:p>
        <w:p w14:paraId="33414F83" w14:textId="30444217" w:rsidR="00A12294" w:rsidRDefault="00A1229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25146208" w:history="1">
            <w:r>
              <w:rPr>
                <w:rStyle w:val="Hyperlink"/>
                <w:noProof/>
              </w:rPr>
              <w:t>Sequencing</w:t>
            </w:r>
            <w:r>
              <w:rPr>
                <w:noProof/>
                <w:webHidden/>
              </w:rPr>
              <w:tab/>
            </w:r>
            <w:r>
              <w:rPr>
                <w:noProof/>
                <w:webHidden/>
              </w:rPr>
              <w:fldChar w:fldCharType="begin"/>
            </w:r>
            <w:r>
              <w:rPr>
                <w:noProof/>
                <w:webHidden/>
              </w:rPr>
              <w:instrText xml:space="preserve"> PAGEREF _Toc225146208 \h </w:instrText>
            </w:r>
            <w:r>
              <w:rPr>
                <w:noProof/>
                <w:webHidden/>
              </w:rPr>
            </w:r>
            <w:r>
              <w:rPr>
                <w:noProof/>
                <w:webHidden/>
              </w:rPr>
              <w:fldChar w:fldCharType="separate"/>
            </w:r>
            <w:r>
              <w:rPr>
                <w:noProof/>
                <w:webHidden/>
              </w:rPr>
              <w:t>8</w:t>
            </w:r>
            <w:r>
              <w:rPr>
                <w:noProof/>
                <w:webHidden/>
              </w:rPr>
              <w:fldChar w:fldCharType="end"/>
            </w:r>
          </w:hyperlink>
        </w:p>
        <w:p w14:paraId="6B94346C" w14:textId="613E18FE" w:rsidR="00A12294" w:rsidRDefault="00A1229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25146209" w:history="1">
            <w:r>
              <w:rPr>
                <w:rStyle w:val="Hyperlink"/>
                <w:noProof/>
              </w:rPr>
              <w:t>Bioinformatic and statistical processing</w:t>
            </w:r>
            <w:r>
              <w:rPr>
                <w:noProof/>
                <w:webHidden/>
              </w:rPr>
              <w:tab/>
            </w:r>
            <w:r>
              <w:rPr>
                <w:noProof/>
                <w:webHidden/>
              </w:rPr>
              <w:fldChar w:fldCharType="begin"/>
            </w:r>
            <w:r>
              <w:rPr>
                <w:noProof/>
                <w:webHidden/>
              </w:rPr>
              <w:instrText xml:space="preserve"> PAGEREF _Toc225146209 \h </w:instrText>
            </w:r>
            <w:r>
              <w:rPr>
                <w:noProof/>
                <w:webHidden/>
              </w:rPr>
            </w:r>
            <w:r>
              <w:rPr>
                <w:noProof/>
                <w:webHidden/>
              </w:rPr>
              <w:fldChar w:fldCharType="separate"/>
            </w:r>
            <w:r>
              <w:rPr>
                <w:noProof/>
                <w:webHidden/>
              </w:rPr>
              <w:t>9</w:t>
            </w:r>
            <w:r>
              <w:rPr>
                <w:noProof/>
                <w:webHidden/>
              </w:rPr>
              <w:fldChar w:fldCharType="end"/>
            </w:r>
          </w:hyperlink>
        </w:p>
        <w:p w14:paraId="2FABF94A" w14:textId="27E9DFFF" w:rsidR="00A12294" w:rsidRDefault="00A1229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25146210" w:history="1">
            <w:r>
              <w:rPr>
                <w:rStyle w:val="Hyperlink"/>
                <w:noProof/>
              </w:rPr>
              <w:t>Reference libraries</w:t>
            </w:r>
            <w:r>
              <w:rPr>
                <w:noProof/>
                <w:webHidden/>
              </w:rPr>
              <w:tab/>
            </w:r>
            <w:r>
              <w:rPr>
                <w:noProof/>
                <w:webHidden/>
              </w:rPr>
              <w:fldChar w:fldCharType="begin"/>
            </w:r>
            <w:r>
              <w:rPr>
                <w:noProof/>
                <w:webHidden/>
              </w:rPr>
              <w:instrText xml:space="preserve"> PAGEREF _Toc225146210 \h </w:instrText>
            </w:r>
            <w:r>
              <w:rPr>
                <w:noProof/>
                <w:webHidden/>
              </w:rPr>
            </w:r>
            <w:r>
              <w:rPr>
                <w:noProof/>
                <w:webHidden/>
              </w:rPr>
              <w:fldChar w:fldCharType="separate"/>
            </w:r>
            <w:r>
              <w:rPr>
                <w:noProof/>
                <w:webHidden/>
              </w:rPr>
              <w:t>10</w:t>
            </w:r>
            <w:r>
              <w:rPr>
                <w:noProof/>
                <w:webHidden/>
              </w:rPr>
              <w:fldChar w:fldCharType="end"/>
            </w:r>
          </w:hyperlink>
        </w:p>
        <w:p w14:paraId="73874EA4" w14:textId="71CAC6F0" w:rsidR="00A12294" w:rsidRDefault="00A1229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25146211" w:history="1">
            <w:r>
              <w:rPr>
                <w:rStyle w:val="Hyperlink"/>
                <w:noProof/>
              </w:rPr>
              <w:t>Quality assurance</w:t>
            </w:r>
            <w:r>
              <w:rPr>
                <w:noProof/>
                <w:webHidden/>
              </w:rPr>
              <w:tab/>
            </w:r>
            <w:r>
              <w:rPr>
                <w:noProof/>
                <w:webHidden/>
              </w:rPr>
              <w:fldChar w:fldCharType="begin"/>
            </w:r>
            <w:r>
              <w:rPr>
                <w:noProof/>
                <w:webHidden/>
              </w:rPr>
              <w:instrText xml:space="preserve"> PAGEREF _Toc225146211 \h </w:instrText>
            </w:r>
            <w:r>
              <w:rPr>
                <w:noProof/>
                <w:webHidden/>
              </w:rPr>
            </w:r>
            <w:r>
              <w:rPr>
                <w:noProof/>
                <w:webHidden/>
              </w:rPr>
              <w:fldChar w:fldCharType="separate"/>
            </w:r>
            <w:r>
              <w:rPr>
                <w:noProof/>
                <w:webHidden/>
              </w:rPr>
              <w:t>10</w:t>
            </w:r>
            <w:r>
              <w:rPr>
                <w:noProof/>
                <w:webHidden/>
              </w:rPr>
              <w:fldChar w:fldCharType="end"/>
            </w:r>
          </w:hyperlink>
        </w:p>
        <w:p w14:paraId="28E0E3B7" w14:textId="068B83BC" w:rsidR="00A12294" w:rsidRDefault="00A12294">
          <w:pPr>
            <w:pStyle w:val="TOC1"/>
            <w:rPr>
              <w:rFonts w:asciiTheme="minorHAnsi" w:eastAsiaTheme="minorEastAsia" w:hAnsiTheme="minorHAnsi" w:cstheme="minorBidi"/>
              <w:noProof/>
              <w:kern w:val="2"/>
              <w:szCs w:val="24"/>
              <w:lang w:eastAsia="en-GB"/>
              <w14:ligatures w14:val="standardContextual"/>
            </w:rPr>
          </w:pPr>
          <w:hyperlink w:anchor="_Toc225146212" w:history="1">
            <w:r>
              <w:rPr>
                <w:rStyle w:val="Hyperlink"/>
                <w:noProof/>
              </w:rPr>
              <w:t>Results</w:t>
            </w:r>
            <w:r>
              <w:rPr>
                <w:noProof/>
                <w:webHidden/>
              </w:rPr>
              <w:tab/>
            </w:r>
            <w:r>
              <w:rPr>
                <w:noProof/>
                <w:webHidden/>
              </w:rPr>
              <w:fldChar w:fldCharType="begin"/>
            </w:r>
            <w:r>
              <w:rPr>
                <w:noProof/>
                <w:webHidden/>
              </w:rPr>
              <w:instrText xml:space="preserve"> PAGEREF _Toc225146212 \h </w:instrText>
            </w:r>
            <w:r>
              <w:rPr>
                <w:noProof/>
                <w:webHidden/>
              </w:rPr>
            </w:r>
            <w:r>
              <w:rPr>
                <w:noProof/>
                <w:webHidden/>
              </w:rPr>
              <w:fldChar w:fldCharType="separate"/>
            </w:r>
            <w:r>
              <w:rPr>
                <w:noProof/>
                <w:webHidden/>
              </w:rPr>
              <w:t>11</w:t>
            </w:r>
            <w:r>
              <w:rPr>
                <w:noProof/>
                <w:webHidden/>
              </w:rPr>
              <w:fldChar w:fldCharType="end"/>
            </w:r>
          </w:hyperlink>
        </w:p>
        <w:p w14:paraId="568C99F4" w14:textId="6A94F924" w:rsidR="00A12294" w:rsidRDefault="00A1229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25146213" w:history="1">
            <w:r>
              <w:rPr>
                <w:rStyle w:val="Hyperlink"/>
                <w:noProof/>
              </w:rPr>
              <w:t>Sequencing success and dataset overview</w:t>
            </w:r>
            <w:r>
              <w:rPr>
                <w:noProof/>
                <w:webHidden/>
              </w:rPr>
              <w:tab/>
            </w:r>
            <w:r>
              <w:rPr>
                <w:noProof/>
                <w:webHidden/>
              </w:rPr>
              <w:fldChar w:fldCharType="begin"/>
            </w:r>
            <w:r>
              <w:rPr>
                <w:noProof/>
                <w:webHidden/>
              </w:rPr>
              <w:instrText xml:space="preserve"> PAGEREF _Toc225146213 \h </w:instrText>
            </w:r>
            <w:r>
              <w:rPr>
                <w:noProof/>
                <w:webHidden/>
              </w:rPr>
            </w:r>
            <w:r>
              <w:rPr>
                <w:noProof/>
                <w:webHidden/>
              </w:rPr>
              <w:fldChar w:fldCharType="separate"/>
            </w:r>
            <w:r>
              <w:rPr>
                <w:noProof/>
                <w:webHidden/>
              </w:rPr>
              <w:t>11</w:t>
            </w:r>
            <w:r>
              <w:rPr>
                <w:noProof/>
                <w:webHidden/>
              </w:rPr>
              <w:fldChar w:fldCharType="end"/>
            </w:r>
          </w:hyperlink>
        </w:p>
        <w:p w14:paraId="6AFB0180" w14:textId="1D433153" w:rsidR="00A12294" w:rsidRDefault="00A1229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25146214" w:history="1">
            <w:r>
              <w:rPr>
                <w:rStyle w:val="Hyperlink"/>
                <w:noProof/>
              </w:rPr>
              <w:t>Genetic diversity</w:t>
            </w:r>
            <w:r>
              <w:rPr>
                <w:noProof/>
                <w:webHidden/>
              </w:rPr>
              <w:tab/>
            </w:r>
            <w:r>
              <w:rPr>
                <w:noProof/>
                <w:webHidden/>
              </w:rPr>
              <w:fldChar w:fldCharType="begin"/>
            </w:r>
            <w:r>
              <w:rPr>
                <w:noProof/>
                <w:webHidden/>
              </w:rPr>
              <w:instrText xml:space="preserve"> PAGEREF _Toc225146214 \h </w:instrText>
            </w:r>
            <w:r>
              <w:rPr>
                <w:noProof/>
                <w:webHidden/>
              </w:rPr>
            </w:r>
            <w:r>
              <w:rPr>
                <w:noProof/>
                <w:webHidden/>
              </w:rPr>
              <w:fldChar w:fldCharType="separate"/>
            </w:r>
            <w:r>
              <w:rPr>
                <w:noProof/>
                <w:webHidden/>
              </w:rPr>
              <w:t>11</w:t>
            </w:r>
            <w:r>
              <w:rPr>
                <w:noProof/>
                <w:webHidden/>
              </w:rPr>
              <w:fldChar w:fldCharType="end"/>
            </w:r>
          </w:hyperlink>
        </w:p>
        <w:p w14:paraId="3A757FDD" w14:textId="51C62967" w:rsidR="00A12294" w:rsidRDefault="00A12294">
          <w:pPr>
            <w:pStyle w:val="TOC3"/>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5146215" w:history="1">
            <w:r>
              <w:rPr>
                <w:rStyle w:val="Hyperlink"/>
                <w:noProof/>
              </w:rPr>
              <w:t>COI diversity</w:t>
            </w:r>
            <w:r>
              <w:rPr>
                <w:noProof/>
                <w:webHidden/>
              </w:rPr>
              <w:tab/>
            </w:r>
            <w:r>
              <w:rPr>
                <w:noProof/>
                <w:webHidden/>
              </w:rPr>
              <w:fldChar w:fldCharType="begin"/>
            </w:r>
            <w:r>
              <w:rPr>
                <w:noProof/>
                <w:webHidden/>
              </w:rPr>
              <w:instrText xml:space="preserve"> PAGEREF _Toc225146215 \h </w:instrText>
            </w:r>
            <w:r>
              <w:rPr>
                <w:noProof/>
                <w:webHidden/>
              </w:rPr>
            </w:r>
            <w:r>
              <w:rPr>
                <w:noProof/>
                <w:webHidden/>
              </w:rPr>
              <w:fldChar w:fldCharType="separate"/>
            </w:r>
            <w:r>
              <w:rPr>
                <w:noProof/>
                <w:webHidden/>
              </w:rPr>
              <w:t>12</w:t>
            </w:r>
            <w:r>
              <w:rPr>
                <w:noProof/>
                <w:webHidden/>
              </w:rPr>
              <w:fldChar w:fldCharType="end"/>
            </w:r>
          </w:hyperlink>
        </w:p>
        <w:p w14:paraId="48B71E92" w14:textId="3F142B64" w:rsidR="00A12294" w:rsidRDefault="00A12294">
          <w:pPr>
            <w:pStyle w:val="TOC3"/>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5146216" w:history="1">
            <w:r>
              <w:rPr>
                <w:rStyle w:val="Hyperlink"/>
                <w:noProof/>
              </w:rPr>
              <w:t>H3 diversity</w:t>
            </w:r>
            <w:r>
              <w:rPr>
                <w:noProof/>
                <w:webHidden/>
              </w:rPr>
              <w:tab/>
            </w:r>
            <w:r>
              <w:rPr>
                <w:noProof/>
                <w:webHidden/>
              </w:rPr>
              <w:fldChar w:fldCharType="begin"/>
            </w:r>
            <w:r>
              <w:rPr>
                <w:noProof/>
                <w:webHidden/>
              </w:rPr>
              <w:instrText xml:space="preserve"> PAGEREF _Toc225146216 \h </w:instrText>
            </w:r>
            <w:r>
              <w:rPr>
                <w:noProof/>
                <w:webHidden/>
              </w:rPr>
            </w:r>
            <w:r>
              <w:rPr>
                <w:noProof/>
                <w:webHidden/>
              </w:rPr>
              <w:fldChar w:fldCharType="separate"/>
            </w:r>
            <w:r>
              <w:rPr>
                <w:noProof/>
                <w:webHidden/>
              </w:rPr>
              <w:t>13</w:t>
            </w:r>
            <w:r>
              <w:rPr>
                <w:noProof/>
                <w:webHidden/>
              </w:rPr>
              <w:fldChar w:fldCharType="end"/>
            </w:r>
          </w:hyperlink>
        </w:p>
        <w:p w14:paraId="341CA659" w14:textId="143B534C" w:rsidR="00A12294" w:rsidRDefault="00A1229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25146217" w:history="1">
            <w:r>
              <w:rPr>
                <w:rStyle w:val="Hyperlink"/>
                <w:noProof/>
              </w:rPr>
              <w:t>Haplotype structure</w:t>
            </w:r>
            <w:r>
              <w:rPr>
                <w:noProof/>
                <w:webHidden/>
              </w:rPr>
              <w:tab/>
            </w:r>
            <w:r>
              <w:rPr>
                <w:noProof/>
                <w:webHidden/>
              </w:rPr>
              <w:fldChar w:fldCharType="begin"/>
            </w:r>
            <w:r>
              <w:rPr>
                <w:noProof/>
                <w:webHidden/>
              </w:rPr>
              <w:instrText xml:space="preserve"> PAGEREF _Toc225146217 \h </w:instrText>
            </w:r>
            <w:r>
              <w:rPr>
                <w:noProof/>
                <w:webHidden/>
              </w:rPr>
            </w:r>
            <w:r>
              <w:rPr>
                <w:noProof/>
                <w:webHidden/>
              </w:rPr>
              <w:fldChar w:fldCharType="separate"/>
            </w:r>
            <w:r>
              <w:rPr>
                <w:noProof/>
                <w:webHidden/>
              </w:rPr>
              <w:t>13</w:t>
            </w:r>
            <w:r>
              <w:rPr>
                <w:noProof/>
                <w:webHidden/>
              </w:rPr>
              <w:fldChar w:fldCharType="end"/>
            </w:r>
          </w:hyperlink>
        </w:p>
        <w:p w14:paraId="4A267FF8" w14:textId="24AAC5EC" w:rsidR="00A12294" w:rsidRDefault="00A12294">
          <w:pPr>
            <w:pStyle w:val="TOC3"/>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5146218" w:history="1">
            <w:r>
              <w:rPr>
                <w:rStyle w:val="Hyperlink"/>
                <w:noProof/>
              </w:rPr>
              <w:t>COI haplotype network</w:t>
            </w:r>
            <w:r>
              <w:rPr>
                <w:noProof/>
                <w:webHidden/>
              </w:rPr>
              <w:tab/>
            </w:r>
            <w:r>
              <w:rPr>
                <w:noProof/>
                <w:webHidden/>
              </w:rPr>
              <w:fldChar w:fldCharType="begin"/>
            </w:r>
            <w:r>
              <w:rPr>
                <w:noProof/>
                <w:webHidden/>
              </w:rPr>
              <w:instrText xml:space="preserve"> PAGEREF _Toc225146218 \h </w:instrText>
            </w:r>
            <w:r>
              <w:rPr>
                <w:noProof/>
                <w:webHidden/>
              </w:rPr>
            </w:r>
            <w:r>
              <w:rPr>
                <w:noProof/>
                <w:webHidden/>
              </w:rPr>
              <w:fldChar w:fldCharType="separate"/>
            </w:r>
            <w:r>
              <w:rPr>
                <w:noProof/>
                <w:webHidden/>
              </w:rPr>
              <w:t>13</w:t>
            </w:r>
            <w:r>
              <w:rPr>
                <w:noProof/>
                <w:webHidden/>
              </w:rPr>
              <w:fldChar w:fldCharType="end"/>
            </w:r>
          </w:hyperlink>
        </w:p>
        <w:p w14:paraId="42082C8D" w14:textId="7834B0AA" w:rsidR="00A12294" w:rsidRDefault="00A12294">
          <w:pPr>
            <w:pStyle w:val="TOC3"/>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5146219" w:history="1">
            <w:r>
              <w:rPr>
                <w:rStyle w:val="Hyperlink"/>
                <w:noProof/>
              </w:rPr>
              <w:t>H3 haplotype network</w:t>
            </w:r>
            <w:r>
              <w:rPr>
                <w:noProof/>
                <w:webHidden/>
              </w:rPr>
              <w:tab/>
            </w:r>
            <w:r>
              <w:rPr>
                <w:noProof/>
                <w:webHidden/>
              </w:rPr>
              <w:fldChar w:fldCharType="begin"/>
            </w:r>
            <w:r>
              <w:rPr>
                <w:noProof/>
                <w:webHidden/>
              </w:rPr>
              <w:instrText xml:space="preserve"> PAGEREF _Toc225146219 \h </w:instrText>
            </w:r>
            <w:r>
              <w:rPr>
                <w:noProof/>
                <w:webHidden/>
              </w:rPr>
            </w:r>
            <w:r>
              <w:rPr>
                <w:noProof/>
                <w:webHidden/>
              </w:rPr>
              <w:fldChar w:fldCharType="separate"/>
            </w:r>
            <w:r>
              <w:rPr>
                <w:noProof/>
                <w:webHidden/>
              </w:rPr>
              <w:t>14</w:t>
            </w:r>
            <w:r>
              <w:rPr>
                <w:noProof/>
                <w:webHidden/>
              </w:rPr>
              <w:fldChar w:fldCharType="end"/>
            </w:r>
          </w:hyperlink>
        </w:p>
        <w:p w14:paraId="4EA206CC" w14:textId="42ACB3EE" w:rsidR="00A12294" w:rsidRDefault="00A12294">
          <w:pPr>
            <w:pStyle w:val="TOC3"/>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5146220" w:history="1">
            <w:r>
              <w:rPr>
                <w:rStyle w:val="Hyperlink"/>
                <w:noProof/>
              </w:rPr>
              <w:t>Geographic distribution of haplotypes</w:t>
            </w:r>
            <w:r>
              <w:rPr>
                <w:noProof/>
                <w:webHidden/>
              </w:rPr>
              <w:tab/>
            </w:r>
            <w:r>
              <w:rPr>
                <w:noProof/>
                <w:webHidden/>
              </w:rPr>
              <w:fldChar w:fldCharType="begin"/>
            </w:r>
            <w:r>
              <w:rPr>
                <w:noProof/>
                <w:webHidden/>
              </w:rPr>
              <w:instrText xml:space="preserve"> PAGEREF _Toc225146220 \h </w:instrText>
            </w:r>
            <w:r>
              <w:rPr>
                <w:noProof/>
                <w:webHidden/>
              </w:rPr>
            </w:r>
            <w:r>
              <w:rPr>
                <w:noProof/>
                <w:webHidden/>
              </w:rPr>
              <w:fldChar w:fldCharType="separate"/>
            </w:r>
            <w:r>
              <w:rPr>
                <w:noProof/>
                <w:webHidden/>
              </w:rPr>
              <w:t>15</w:t>
            </w:r>
            <w:r>
              <w:rPr>
                <w:noProof/>
                <w:webHidden/>
              </w:rPr>
              <w:fldChar w:fldCharType="end"/>
            </w:r>
          </w:hyperlink>
        </w:p>
        <w:p w14:paraId="38EB9754" w14:textId="13BCD56B" w:rsidR="00A12294" w:rsidRDefault="00A1229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25146221" w:history="1">
            <w:r>
              <w:rPr>
                <w:rStyle w:val="Hyperlink"/>
                <w:noProof/>
              </w:rPr>
              <w:t>Population structure</w:t>
            </w:r>
            <w:r>
              <w:rPr>
                <w:noProof/>
                <w:webHidden/>
              </w:rPr>
              <w:tab/>
            </w:r>
            <w:r>
              <w:rPr>
                <w:noProof/>
                <w:webHidden/>
              </w:rPr>
              <w:fldChar w:fldCharType="begin"/>
            </w:r>
            <w:r>
              <w:rPr>
                <w:noProof/>
                <w:webHidden/>
              </w:rPr>
              <w:instrText xml:space="preserve"> PAGEREF _Toc225146221 \h </w:instrText>
            </w:r>
            <w:r>
              <w:rPr>
                <w:noProof/>
                <w:webHidden/>
              </w:rPr>
            </w:r>
            <w:r>
              <w:rPr>
                <w:noProof/>
                <w:webHidden/>
              </w:rPr>
              <w:fldChar w:fldCharType="separate"/>
            </w:r>
            <w:r>
              <w:rPr>
                <w:noProof/>
                <w:webHidden/>
              </w:rPr>
              <w:t>18</w:t>
            </w:r>
            <w:r>
              <w:rPr>
                <w:noProof/>
                <w:webHidden/>
              </w:rPr>
              <w:fldChar w:fldCharType="end"/>
            </w:r>
          </w:hyperlink>
        </w:p>
        <w:p w14:paraId="4119357A" w14:textId="0D442201" w:rsidR="00A12294" w:rsidRDefault="00A12294">
          <w:pPr>
            <w:pStyle w:val="TOC3"/>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5146222" w:history="1">
            <w:r>
              <w:rPr>
                <w:rStyle w:val="Hyperlink"/>
                <w:noProof/>
              </w:rPr>
              <w:t>Analysis of Molecular Variance (AMOVA)</w:t>
            </w:r>
            <w:r>
              <w:rPr>
                <w:noProof/>
                <w:webHidden/>
              </w:rPr>
              <w:tab/>
            </w:r>
            <w:r>
              <w:rPr>
                <w:noProof/>
                <w:webHidden/>
              </w:rPr>
              <w:fldChar w:fldCharType="begin"/>
            </w:r>
            <w:r>
              <w:rPr>
                <w:noProof/>
                <w:webHidden/>
              </w:rPr>
              <w:instrText xml:space="preserve"> PAGEREF _Toc225146222 \h </w:instrText>
            </w:r>
            <w:r>
              <w:rPr>
                <w:noProof/>
                <w:webHidden/>
              </w:rPr>
            </w:r>
            <w:r>
              <w:rPr>
                <w:noProof/>
                <w:webHidden/>
              </w:rPr>
              <w:fldChar w:fldCharType="separate"/>
            </w:r>
            <w:r>
              <w:rPr>
                <w:noProof/>
                <w:webHidden/>
              </w:rPr>
              <w:t>18</w:t>
            </w:r>
            <w:r>
              <w:rPr>
                <w:noProof/>
                <w:webHidden/>
              </w:rPr>
              <w:fldChar w:fldCharType="end"/>
            </w:r>
          </w:hyperlink>
        </w:p>
        <w:p w14:paraId="7F25597D" w14:textId="6FAEADDB" w:rsidR="00A12294" w:rsidRDefault="00A12294">
          <w:pPr>
            <w:pStyle w:val="TOC3"/>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5146223" w:history="1">
            <w:r>
              <w:rPr>
                <w:rStyle w:val="Hyperlink"/>
                <w:noProof/>
              </w:rPr>
              <w:t>Discriminant Analysis of Principal Components (DAPC)</w:t>
            </w:r>
            <w:r>
              <w:rPr>
                <w:noProof/>
                <w:webHidden/>
              </w:rPr>
              <w:tab/>
            </w:r>
            <w:r>
              <w:rPr>
                <w:noProof/>
                <w:webHidden/>
              </w:rPr>
              <w:fldChar w:fldCharType="begin"/>
            </w:r>
            <w:r>
              <w:rPr>
                <w:noProof/>
                <w:webHidden/>
              </w:rPr>
              <w:instrText xml:space="preserve"> PAGEREF _Toc225146223 \h </w:instrText>
            </w:r>
            <w:r>
              <w:rPr>
                <w:noProof/>
                <w:webHidden/>
              </w:rPr>
            </w:r>
            <w:r>
              <w:rPr>
                <w:noProof/>
                <w:webHidden/>
              </w:rPr>
              <w:fldChar w:fldCharType="separate"/>
            </w:r>
            <w:r>
              <w:rPr>
                <w:noProof/>
                <w:webHidden/>
              </w:rPr>
              <w:t>19</w:t>
            </w:r>
            <w:r>
              <w:rPr>
                <w:noProof/>
                <w:webHidden/>
              </w:rPr>
              <w:fldChar w:fldCharType="end"/>
            </w:r>
          </w:hyperlink>
        </w:p>
        <w:p w14:paraId="56E71E40" w14:textId="009CCDA0" w:rsidR="00A12294" w:rsidRDefault="00A12294">
          <w:pPr>
            <w:pStyle w:val="TOC3"/>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5146224" w:history="1">
            <w:r>
              <w:rPr>
                <w:rStyle w:val="Hyperlink"/>
                <w:noProof/>
              </w:rPr>
              <w:t>Genetic differentiation</w:t>
            </w:r>
            <w:r>
              <w:rPr>
                <w:noProof/>
                <w:webHidden/>
              </w:rPr>
              <w:tab/>
            </w:r>
            <w:r>
              <w:rPr>
                <w:noProof/>
                <w:webHidden/>
              </w:rPr>
              <w:fldChar w:fldCharType="begin"/>
            </w:r>
            <w:r>
              <w:rPr>
                <w:noProof/>
                <w:webHidden/>
              </w:rPr>
              <w:instrText xml:space="preserve"> PAGEREF _Toc225146224 \h </w:instrText>
            </w:r>
            <w:r>
              <w:rPr>
                <w:noProof/>
                <w:webHidden/>
              </w:rPr>
            </w:r>
            <w:r>
              <w:rPr>
                <w:noProof/>
                <w:webHidden/>
              </w:rPr>
              <w:fldChar w:fldCharType="separate"/>
            </w:r>
            <w:r>
              <w:rPr>
                <w:noProof/>
                <w:webHidden/>
              </w:rPr>
              <w:t>20</w:t>
            </w:r>
            <w:r>
              <w:rPr>
                <w:noProof/>
                <w:webHidden/>
              </w:rPr>
              <w:fldChar w:fldCharType="end"/>
            </w:r>
          </w:hyperlink>
        </w:p>
        <w:p w14:paraId="7B80513E" w14:textId="1AC5D1AE" w:rsidR="00A12294" w:rsidRDefault="00A12294">
          <w:pPr>
            <w:pStyle w:val="TOC3"/>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5146225" w:history="1">
            <w:r>
              <w:rPr>
                <w:rStyle w:val="Hyperlink"/>
                <w:noProof/>
              </w:rPr>
              <w:t>Isolation by Distance</w:t>
            </w:r>
            <w:r>
              <w:rPr>
                <w:noProof/>
                <w:webHidden/>
              </w:rPr>
              <w:tab/>
            </w:r>
            <w:r>
              <w:rPr>
                <w:noProof/>
                <w:webHidden/>
              </w:rPr>
              <w:fldChar w:fldCharType="begin"/>
            </w:r>
            <w:r>
              <w:rPr>
                <w:noProof/>
                <w:webHidden/>
              </w:rPr>
              <w:instrText xml:space="preserve"> PAGEREF _Toc225146225 \h </w:instrText>
            </w:r>
            <w:r>
              <w:rPr>
                <w:noProof/>
                <w:webHidden/>
              </w:rPr>
            </w:r>
            <w:r>
              <w:rPr>
                <w:noProof/>
                <w:webHidden/>
              </w:rPr>
              <w:fldChar w:fldCharType="separate"/>
            </w:r>
            <w:r>
              <w:rPr>
                <w:noProof/>
                <w:webHidden/>
              </w:rPr>
              <w:t>22</w:t>
            </w:r>
            <w:r>
              <w:rPr>
                <w:noProof/>
                <w:webHidden/>
              </w:rPr>
              <w:fldChar w:fldCharType="end"/>
            </w:r>
          </w:hyperlink>
        </w:p>
        <w:p w14:paraId="04B9A91E" w14:textId="3D233BCC" w:rsidR="00A12294" w:rsidRDefault="00A12294">
          <w:pPr>
            <w:pStyle w:val="TOC3"/>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5146226" w:history="1">
            <w:r>
              <w:rPr>
                <w:rStyle w:val="Hyperlink"/>
                <w:noProof/>
              </w:rPr>
              <w:t>Neutrality Tests</w:t>
            </w:r>
            <w:r>
              <w:rPr>
                <w:noProof/>
                <w:webHidden/>
              </w:rPr>
              <w:tab/>
            </w:r>
            <w:r>
              <w:rPr>
                <w:noProof/>
                <w:webHidden/>
              </w:rPr>
              <w:fldChar w:fldCharType="begin"/>
            </w:r>
            <w:r>
              <w:rPr>
                <w:noProof/>
                <w:webHidden/>
              </w:rPr>
              <w:instrText xml:space="preserve"> PAGEREF _Toc225146226 \h </w:instrText>
            </w:r>
            <w:r>
              <w:rPr>
                <w:noProof/>
                <w:webHidden/>
              </w:rPr>
            </w:r>
            <w:r>
              <w:rPr>
                <w:noProof/>
                <w:webHidden/>
              </w:rPr>
              <w:fldChar w:fldCharType="separate"/>
            </w:r>
            <w:r>
              <w:rPr>
                <w:noProof/>
                <w:webHidden/>
              </w:rPr>
              <w:t>23</w:t>
            </w:r>
            <w:r>
              <w:rPr>
                <w:noProof/>
                <w:webHidden/>
              </w:rPr>
              <w:fldChar w:fldCharType="end"/>
            </w:r>
          </w:hyperlink>
        </w:p>
        <w:p w14:paraId="6199A575" w14:textId="7599CC41" w:rsidR="00A12294" w:rsidRDefault="00A12294">
          <w:pPr>
            <w:pStyle w:val="TOC1"/>
            <w:rPr>
              <w:rFonts w:asciiTheme="minorHAnsi" w:eastAsiaTheme="minorEastAsia" w:hAnsiTheme="minorHAnsi" w:cstheme="minorBidi"/>
              <w:noProof/>
              <w:kern w:val="2"/>
              <w:szCs w:val="24"/>
              <w:lang w:eastAsia="en-GB"/>
              <w14:ligatures w14:val="standardContextual"/>
            </w:rPr>
          </w:pPr>
          <w:hyperlink w:anchor="_Toc225146227" w:history="1">
            <w:r>
              <w:rPr>
                <w:rStyle w:val="Hyperlink"/>
                <w:noProof/>
              </w:rPr>
              <w:t>Discussion</w:t>
            </w:r>
            <w:r>
              <w:rPr>
                <w:noProof/>
                <w:webHidden/>
              </w:rPr>
              <w:tab/>
            </w:r>
            <w:r>
              <w:rPr>
                <w:noProof/>
                <w:webHidden/>
              </w:rPr>
              <w:fldChar w:fldCharType="begin"/>
            </w:r>
            <w:r>
              <w:rPr>
                <w:noProof/>
                <w:webHidden/>
              </w:rPr>
              <w:instrText xml:space="preserve"> PAGEREF _Toc225146227 \h </w:instrText>
            </w:r>
            <w:r>
              <w:rPr>
                <w:noProof/>
                <w:webHidden/>
              </w:rPr>
            </w:r>
            <w:r>
              <w:rPr>
                <w:noProof/>
                <w:webHidden/>
              </w:rPr>
              <w:fldChar w:fldCharType="separate"/>
            </w:r>
            <w:r>
              <w:rPr>
                <w:noProof/>
                <w:webHidden/>
              </w:rPr>
              <w:t>24</w:t>
            </w:r>
            <w:r>
              <w:rPr>
                <w:noProof/>
                <w:webHidden/>
              </w:rPr>
              <w:fldChar w:fldCharType="end"/>
            </w:r>
          </w:hyperlink>
        </w:p>
        <w:p w14:paraId="5E6D773B" w14:textId="6932E927" w:rsidR="00A12294" w:rsidRDefault="00A1229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25146228" w:history="1">
            <w:r>
              <w:rPr>
                <w:rStyle w:val="Hyperlink"/>
                <w:noProof/>
              </w:rPr>
              <w:t>Overall patterns of genetic diversity and structure</w:t>
            </w:r>
            <w:r>
              <w:rPr>
                <w:noProof/>
                <w:webHidden/>
              </w:rPr>
              <w:tab/>
            </w:r>
            <w:r>
              <w:rPr>
                <w:noProof/>
                <w:webHidden/>
              </w:rPr>
              <w:fldChar w:fldCharType="begin"/>
            </w:r>
            <w:r>
              <w:rPr>
                <w:noProof/>
                <w:webHidden/>
              </w:rPr>
              <w:instrText xml:space="preserve"> PAGEREF _Toc225146228 \h </w:instrText>
            </w:r>
            <w:r>
              <w:rPr>
                <w:noProof/>
                <w:webHidden/>
              </w:rPr>
            </w:r>
            <w:r>
              <w:rPr>
                <w:noProof/>
                <w:webHidden/>
              </w:rPr>
              <w:fldChar w:fldCharType="separate"/>
            </w:r>
            <w:r>
              <w:rPr>
                <w:noProof/>
                <w:webHidden/>
              </w:rPr>
              <w:t>24</w:t>
            </w:r>
            <w:r>
              <w:rPr>
                <w:noProof/>
                <w:webHidden/>
              </w:rPr>
              <w:fldChar w:fldCharType="end"/>
            </w:r>
          </w:hyperlink>
        </w:p>
        <w:p w14:paraId="28840AB2" w14:textId="3EDCC6E8" w:rsidR="00A12294" w:rsidRDefault="00A1229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25146229" w:history="1">
            <w:r>
              <w:rPr>
                <w:rStyle w:val="Hyperlink"/>
                <w:noProof/>
              </w:rPr>
              <w:t>Methodological considerations</w:t>
            </w:r>
            <w:r>
              <w:rPr>
                <w:noProof/>
                <w:webHidden/>
              </w:rPr>
              <w:tab/>
            </w:r>
            <w:r>
              <w:rPr>
                <w:noProof/>
                <w:webHidden/>
              </w:rPr>
              <w:fldChar w:fldCharType="begin"/>
            </w:r>
            <w:r>
              <w:rPr>
                <w:noProof/>
                <w:webHidden/>
              </w:rPr>
              <w:instrText xml:space="preserve"> PAGEREF _Toc225146229 \h </w:instrText>
            </w:r>
            <w:r>
              <w:rPr>
                <w:noProof/>
                <w:webHidden/>
              </w:rPr>
            </w:r>
            <w:r>
              <w:rPr>
                <w:noProof/>
                <w:webHidden/>
              </w:rPr>
              <w:fldChar w:fldCharType="separate"/>
            </w:r>
            <w:r>
              <w:rPr>
                <w:noProof/>
                <w:webHidden/>
              </w:rPr>
              <w:t>24</w:t>
            </w:r>
            <w:r>
              <w:rPr>
                <w:noProof/>
                <w:webHidden/>
              </w:rPr>
              <w:fldChar w:fldCharType="end"/>
            </w:r>
          </w:hyperlink>
        </w:p>
        <w:p w14:paraId="6C9B1698" w14:textId="1E324BA3" w:rsidR="00A12294" w:rsidRDefault="00A1229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25146230" w:history="1">
            <w:r>
              <w:rPr>
                <w:rStyle w:val="Hyperlink"/>
                <w:noProof/>
              </w:rPr>
              <w:t>Interpretation of population genetic patterns</w:t>
            </w:r>
            <w:r>
              <w:rPr>
                <w:noProof/>
                <w:webHidden/>
              </w:rPr>
              <w:tab/>
            </w:r>
            <w:r>
              <w:rPr>
                <w:noProof/>
                <w:webHidden/>
              </w:rPr>
              <w:fldChar w:fldCharType="begin"/>
            </w:r>
            <w:r>
              <w:rPr>
                <w:noProof/>
                <w:webHidden/>
              </w:rPr>
              <w:instrText xml:space="preserve"> PAGEREF _Toc225146230 \h </w:instrText>
            </w:r>
            <w:r>
              <w:rPr>
                <w:noProof/>
                <w:webHidden/>
              </w:rPr>
            </w:r>
            <w:r>
              <w:rPr>
                <w:noProof/>
                <w:webHidden/>
              </w:rPr>
              <w:fldChar w:fldCharType="separate"/>
            </w:r>
            <w:r>
              <w:rPr>
                <w:noProof/>
                <w:webHidden/>
              </w:rPr>
              <w:t>25</w:t>
            </w:r>
            <w:r>
              <w:rPr>
                <w:noProof/>
                <w:webHidden/>
              </w:rPr>
              <w:fldChar w:fldCharType="end"/>
            </w:r>
          </w:hyperlink>
        </w:p>
        <w:p w14:paraId="14BEAD72" w14:textId="4928597A" w:rsidR="00A12294" w:rsidRDefault="00A12294">
          <w:pPr>
            <w:pStyle w:val="TOC3"/>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5146231" w:history="1">
            <w:r>
              <w:rPr>
                <w:rStyle w:val="Hyperlink"/>
                <w:noProof/>
              </w:rPr>
              <w:t>Genetic diversity and demographic signals</w:t>
            </w:r>
            <w:r>
              <w:rPr>
                <w:noProof/>
                <w:webHidden/>
              </w:rPr>
              <w:tab/>
            </w:r>
            <w:r>
              <w:rPr>
                <w:noProof/>
                <w:webHidden/>
              </w:rPr>
              <w:fldChar w:fldCharType="begin"/>
            </w:r>
            <w:r>
              <w:rPr>
                <w:noProof/>
                <w:webHidden/>
              </w:rPr>
              <w:instrText xml:space="preserve"> PAGEREF _Toc225146231 \h </w:instrText>
            </w:r>
            <w:r>
              <w:rPr>
                <w:noProof/>
                <w:webHidden/>
              </w:rPr>
            </w:r>
            <w:r>
              <w:rPr>
                <w:noProof/>
                <w:webHidden/>
              </w:rPr>
              <w:fldChar w:fldCharType="separate"/>
            </w:r>
            <w:r>
              <w:rPr>
                <w:noProof/>
                <w:webHidden/>
              </w:rPr>
              <w:t>25</w:t>
            </w:r>
            <w:r>
              <w:rPr>
                <w:noProof/>
                <w:webHidden/>
              </w:rPr>
              <w:fldChar w:fldCharType="end"/>
            </w:r>
          </w:hyperlink>
        </w:p>
        <w:p w14:paraId="7210BB5D" w14:textId="36C58693" w:rsidR="00A12294" w:rsidRDefault="00A12294">
          <w:pPr>
            <w:pStyle w:val="TOC3"/>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5146232" w:history="1">
            <w:r>
              <w:rPr>
                <w:rStyle w:val="Hyperlink"/>
                <w:noProof/>
              </w:rPr>
              <w:t>Mitochondrial vs nuclear patterns</w:t>
            </w:r>
            <w:r>
              <w:rPr>
                <w:noProof/>
                <w:webHidden/>
              </w:rPr>
              <w:tab/>
            </w:r>
            <w:r>
              <w:rPr>
                <w:noProof/>
                <w:webHidden/>
              </w:rPr>
              <w:fldChar w:fldCharType="begin"/>
            </w:r>
            <w:r>
              <w:rPr>
                <w:noProof/>
                <w:webHidden/>
              </w:rPr>
              <w:instrText xml:space="preserve"> PAGEREF _Toc225146232 \h </w:instrText>
            </w:r>
            <w:r>
              <w:rPr>
                <w:noProof/>
                <w:webHidden/>
              </w:rPr>
            </w:r>
            <w:r>
              <w:rPr>
                <w:noProof/>
                <w:webHidden/>
              </w:rPr>
              <w:fldChar w:fldCharType="separate"/>
            </w:r>
            <w:r>
              <w:rPr>
                <w:noProof/>
                <w:webHidden/>
              </w:rPr>
              <w:t>26</w:t>
            </w:r>
            <w:r>
              <w:rPr>
                <w:noProof/>
                <w:webHidden/>
              </w:rPr>
              <w:fldChar w:fldCharType="end"/>
            </w:r>
          </w:hyperlink>
        </w:p>
        <w:p w14:paraId="06F0CD88" w14:textId="725A38A2" w:rsidR="00A12294" w:rsidRDefault="00A12294">
          <w:pPr>
            <w:pStyle w:val="TOC3"/>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5146233" w:history="1">
            <w:r>
              <w:rPr>
                <w:rStyle w:val="Hyperlink"/>
                <w:noProof/>
              </w:rPr>
              <w:t>Spatial structure and connectivity</w:t>
            </w:r>
            <w:r>
              <w:rPr>
                <w:noProof/>
                <w:webHidden/>
              </w:rPr>
              <w:tab/>
            </w:r>
            <w:r>
              <w:rPr>
                <w:noProof/>
                <w:webHidden/>
              </w:rPr>
              <w:fldChar w:fldCharType="begin"/>
            </w:r>
            <w:r>
              <w:rPr>
                <w:noProof/>
                <w:webHidden/>
              </w:rPr>
              <w:instrText xml:space="preserve"> PAGEREF _Toc225146233 \h </w:instrText>
            </w:r>
            <w:r>
              <w:rPr>
                <w:noProof/>
                <w:webHidden/>
              </w:rPr>
            </w:r>
            <w:r>
              <w:rPr>
                <w:noProof/>
                <w:webHidden/>
              </w:rPr>
              <w:fldChar w:fldCharType="separate"/>
            </w:r>
            <w:r>
              <w:rPr>
                <w:noProof/>
                <w:webHidden/>
              </w:rPr>
              <w:t>27</w:t>
            </w:r>
            <w:r>
              <w:rPr>
                <w:noProof/>
                <w:webHidden/>
              </w:rPr>
              <w:fldChar w:fldCharType="end"/>
            </w:r>
          </w:hyperlink>
        </w:p>
        <w:p w14:paraId="5F099FDD" w14:textId="2B579903" w:rsidR="00A12294" w:rsidRDefault="00A12294">
          <w:pPr>
            <w:pStyle w:val="TOC3"/>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5146234" w:history="1">
            <w:r>
              <w:rPr>
                <w:rStyle w:val="Hyperlink"/>
                <w:noProof/>
              </w:rPr>
              <w:t>Landscape history and habitat origin</w:t>
            </w:r>
            <w:r>
              <w:rPr>
                <w:noProof/>
                <w:webHidden/>
              </w:rPr>
              <w:tab/>
            </w:r>
            <w:r>
              <w:rPr>
                <w:noProof/>
                <w:webHidden/>
              </w:rPr>
              <w:fldChar w:fldCharType="begin"/>
            </w:r>
            <w:r>
              <w:rPr>
                <w:noProof/>
                <w:webHidden/>
              </w:rPr>
              <w:instrText xml:space="preserve"> PAGEREF _Toc225146234 \h </w:instrText>
            </w:r>
            <w:r>
              <w:rPr>
                <w:noProof/>
                <w:webHidden/>
              </w:rPr>
            </w:r>
            <w:r>
              <w:rPr>
                <w:noProof/>
                <w:webHidden/>
              </w:rPr>
              <w:fldChar w:fldCharType="separate"/>
            </w:r>
            <w:r>
              <w:rPr>
                <w:noProof/>
                <w:webHidden/>
              </w:rPr>
              <w:t>28</w:t>
            </w:r>
            <w:r>
              <w:rPr>
                <w:noProof/>
                <w:webHidden/>
              </w:rPr>
              <w:fldChar w:fldCharType="end"/>
            </w:r>
          </w:hyperlink>
        </w:p>
        <w:p w14:paraId="0F46C9BD" w14:textId="3F35053C" w:rsidR="00A12294" w:rsidRDefault="00A1229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25146235" w:history="1">
            <w:r>
              <w:rPr>
                <w:rStyle w:val="Hyperlink"/>
                <w:noProof/>
              </w:rPr>
              <w:t>Future directions</w:t>
            </w:r>
            <w:r>
              <w:rPr>
                <w:noProof/>
                <w:webHidden/>
              </w:rPr>
              <w:tab/>
            </w:r>
            <w:r>
              <w:rPr>
                <w:noProof/>
                <w:webHidden/>
              </w:rPr>
              <w:fldChar w:fldCharType="begin"/>
            </w:r>
            <w:r>
              <w:rPr>
                <w:noProof/>
                <w:webHidden/>
              </w:rPr>
              <w:instrText xml:space="preserve"> PAGEREF _Toc225146235 \h </w:instrText>
            </w:r>
            <w:r>
              <w:rPr>
                <w:noProof/>
                <w:webHidden/>
              </w:rPr>
            </w:r>
            <w:r>
              <w:rPr>
                <w:noProof/>
                <w:webHidden/>
              </w:rPr>
              <w:fldChar w:fldCharType="separate"/>
            </w:r>
            <w:r>
              <w:rPr>
                <w:noProof/>
                <w:webHidden/>
              </w:rPr>
              <w:t>29</w:t>
            </w:r>
            <w:r>
              <w:rPr>
                <w:noProof/>
                <w:webHidden/>
              </w:rPr>
              <w:fldChar w:fldCharType="end"/>
            </w:r>
          </w:hyperlink>
        </w:p>
        <w:p w14:paraId="29B61314" w14:textId="2E1FC01B" w:rsidR="00A12294" w:rsidRDefault="00A12294">
          <w:pPr>
            <w:pStyle w:val="TOC3"/>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5146236" w:history="1">
            <w:r>
              <w:rPr>
                <w:rStyle w:val="Hyperlink"/>
                <w:noProof/>
              </w:rPr>
              <w:t>Conservation implications</w:t>
            </w:r>
            <w:r>
              <w:rPr>
                <w:noProof/>
                <w:webHidden/>
              </w:rPr>
              <w:tab/>
            </w:r>
            <w:r>
              <w:rPr>
                <w:noProof/>
                <w:webHidden/>
              </w:rPr>
              <w:fldChar w:fldCharType="begin"/>
            </w:r>
            <w:r>
              <w:rPr>
                <w:noProof/>
                <w:webHidden/>
              </w:rPr>
              <w:instrText xml:space="preserve"> PAGEREF _Toc225146236 \h </w:instrText>
            </w:r>
            <w:r>
              <w:rPr>
                <w:noProof/>
                <w:webHidden/>
              </w:rPr>
            </w:r>
            <w:r>
              <w:rPr>
                <w:noProof/>
                <w:webHidden/>
              </w:rPr>
              <w:fldChar w:fldCharType="separate"/>
            </w:r>
            <w:r>
              <w:rPr>
                <w:noProof/>
                <w:webHidden/>
              </w:rPr>
              <w:t>30</w:t>
            </w:r>
            <w:r>
              <w:rPr>
                <w:noProof/>
                <w:webHidden/>
              </w:rPr>
              <w:fldChar w:fldCharType="end"/>
            </w:r>
          </w:hyperlink>
        </w:p>
        <w:p w14:paraId="4906C1AE" w14:textId="5998A71D" w:rsidR="00A12294" w:rsidRDefault="00A12294">
          <w:pPr>
            <w:pStyle w:val="TOC1"/>
            <w:rPr>
              <w:rFonts w:asciiTheme="minorHAnsi" w:eastAsiaTheme="minorEastAsia" w:hAnsiTheme="minorHAnsi" w:cstheme="minorBidi"/>
              <w:noProof/>
              <w:kern w:val="2"/>
              <w:szCs w:val="24"/>
              <w:lang w:eastAsia="en-GB"/>
              <w14:ligatures w14:val="standardContextual"/>
            </w:rPr>
          </w:pPr>
          <w:hyperlink w:anchor="_Toc225146237" w:history="1">
            <w:r>
              <w:rPr>
                <w:rStyle w:val="Hyperlink"/>
                <w:noProof/>
              </w:rPr>
              <w:t>References</w:t>
            </w:r>
            <w:r>
              <w:rPr>
                <w:noProof/>
                <w:webHidden/>
              </w:rPr>
              <w:tab/>
            </w:r>
            <w:r>
              <w:rPr>
                <w:noProof/>
                <w:webHidden/>
              </w:rPr>
              <w:fldChar w:fldCharType="begin"/>
            </w:r>
            <w:r>
              <w:rPr>
                <w:noProof/>
                <w:webHidden/>
              </w:rPr>
              <w:instrText xml:space="preserve"> PAGEREF _Toc225146237 \h </w:instrText>
            </w:r>
            <w:r>
              <w:rPr>
                <w:noProof/>
                <w:webHidden/>
              </w:rPr>
            </w:r>
            <w:r>
              <w:rPr>
                <w:noProof/>
                <w:webHidden/>
              </w:rPr>
              <w:fldChar w:fldCharType="separate"/>
            </w:r>
            <w:r>
              <w:rPr>
                <w:noProof/>
                <w:webHidden/>
              </w:rPr>
              <w:t>31</w:t>
            </w:r>
            <w:r>
              <w:rPr>
                <w:noProof/>
                <w:webHidden/>
              </w:rPr>
              <w:fldChar w:fldCharType="end"/>
            </w:r>
          </w:hyperlink>
        </w:p>
        <w:p w14:paraId="16E8BF06" w14:textId="2340FAC4" w:rsidR="00775C2B" w:rsidRDefault="00775C2B">
          <w:r>
            <w:rPr>
              <w:b/>
              <w:bCs/>
            </w:rPr>
            <w:fldChar w:fldCharType="end"/>
          </w:r>
        </w:p>
      </w:sdtContent>
    </w:sdt>
    <w:p w14:paraId="55444E83" w14:textId="77777777" w:rsidR="00775C2B" w:rsidRDefault="00775C2B" w:rsidP="00775C2B"/>
    <w:p w14:paraId="6BEBFFE8" w14:textId="77777777" w:rsidR="00BE035B" w:rsidRDefault="00BE035B" w:rsidP="00775C2B"/>
    <w:p w14:paraId="47C73855" w14:textId="77777777" w:rsidR="00BE035B" w:rsidRDefault="00BE035B" w:rsidP="00775C2B"/>
    <w:p w14:paraId="5EE2ED0A" w14:textId="77777777" w:rsidR="00BE035B" w:rsidRDefault="00BE035B" w:rsidP="00775C2B"/>
    <w:p w14:paraId="386B6B14" w14:textId="77777777" w:rsidR="00BE035B" w:rsidRDefault="00BE035B" w:rsidP="00775C2B"/>
    <w:p w14:paraId="3525B55D" w14:textId="77777777" w:rsidR="00BE035B" w:rsidRDefault="00BE035B" w:rsidP="00775C2B"/>
    <w:p w14:paraId="556FD3D2" w14:textId="77777777" w:rsidR="00BE035B" w:rsidRDefault="00BE035B" w:rsidP="00775C2B"/>
    <w:p w14:paraId="65CFB8BD" w14:textId="77777777" w:rsidR="00BE035B" w:rsidRDefault="00BE035B" w:rsidP="00775C2B"/>
    <w:p w14:paraId="044B91C0" w14:textId="77777777" w:rsidR="00BE035B" w:rsidRDefault="00BE035B" w:rsidP="00775C2B"/>
    <w:p w14:paraId="1957B1C1" w14:textId="77777777" w:rsidR="00BE035B" w:rsidRPr="00775C2B" w:rsidRDefault="00BE035B" w:rsidP="00775C2B"/>
    <w:p w14:paraId="7DB1C359" w14:textId="3D3042AE" w:rsidR="00B416CF" w:rsidRDefault="00AC039E" w:rsidP="00AC039E">
      <w:pPr>
        <w:pStyle w:val="Heading1"/>
      </w:pPr>
      <w:bookmarkStart w:id="0" w:name="_Toc225146203"/>
      <w:r>
        <w:lastRenderedPageBreak/>
        <w:t>Introduction</w:t>
      </w:r>
      <w:bookmarkEnd w:id="0"/>
    </w:p>
    <w:p w14:paraId="598492AF" w14:textId="4A345EA7" w:rsidR="00DC7CDF" w:rsidRPr="00DC7CDF" w:rsidRDefault="00DC7CDF" w:rsidP="00DC7CDF">
      <w:r>
        <w:t xml:space="preserve">Habitat fragmentation is a major driver of biodiversity decline, particularly for species restricted to specialised environments </w:t>
      </w:r>
      <w:r>
        <w:fldChar w:fldCharType="begin"/>
      </w:r>
      <w:r>
        <w:instrText xml:space="preserve"> ADDIN ZOTERO_ITEM CSL_CITATION {"citationID":"QpE03bAs","properties":{"formattedCitation":"(Fahrig, 2003; Haddad et al., 2015)","plainCitation":"(Fahrig, 2003; Haddad et al., 2015)","noteIndex":0},"citationItems":[{"id":1316,"uris":["http://zotero.org/users/12168070/items/JAT5HDW8"],"itemData":{"id":1316,"type":"article-journal","abstract":"▪ Abstract  The literature on effects of habitat fragmentation on biodiversity is huge. It is also very diverse, with different authors measuring fragmentation in different ways and, as a consequence, drawing different conclusions regarding both the magnitude and direction of its effects. Habitat fragmentation is usually defined as a landscape-scale process involving both habitat loss and the breaking apart of habitat. Results of empirical studies of habitat fragmentation are often difficult to interpret because (a) many researchers measure fragmentation at the patch scale, not the landscape scale and (b) most researchers measure fragmentation in ways that do not distinguish between habitat loss and habitat fragmentation per se, i.e., the breaking apart of habitat after controlling for habitat loss. Empirical studies to date suggest that habitat loss has large, consistently negative effects on biodiversity. Habitat fragmentation per se has much weaker effects on biodiversity that are at least as likely to be positive as negative. Therefore, to correctly interpret the influence of habitat fragmentation on biodiversity, the effects of these two components of fragmentation must be measured independently. More studies of the independent effects of habitat loss and fragmentation per se are needed to determine the factors that lead to positive versus negative effects of fragmentation per se. I suggest that the term “fragmentation” should be reserved for the breaking apart of habitat, independent of habitat loss.","container-title":"Annual Review of Ecology, Evolution, and Systematics","DOI":"10.1146/annurev.ecolsys.34.011802.132419","ISSN":"1543-592X, 1545-2069","issue":"1","journalAbbreviation":"Annu. Rev. Ecol. Evol. Syst.","language":"en","page":"487-515","source":"DOI.org (Crossref)","title":"Effects of Habitat Fragmentation on Biodiversity","volume":"34","author":[{"family":"Fahrig","given":"Lenore"}],"issued":{"date-parts":[["2003",11]]}}},{"id":1318,"uris":["http://zotero.org/users/12168070/items/UV4QSMTE"],"itemData":{"id":1318,"type":"article-journal","abstract":"Urgent need for conservation and restoration measures to improve landscape connectivity.\n          , \n            We conducted an analysis of global forest cover to reveal that 70% of remaining forest is within 1 km of the forest’s edge, subject to the degrading effects of fragmentation. A synthesis of fragmentation experiments spanning multiple biomes and scales, five continents, and 35 years demonstrates that habitat fragmentation reduces biodiversity by 13 to 75% and impairs key ecosystem functions by decreasing biomass and altering nutrient cycles. Effects are greatest in the smallest and most isolated fragments, and they magnify with the passage of time. These findings indicate an urgent need for conservation and restoration measures to improve landscape connectivity, which will reduce extinction rates and help maintain ecosystem services.","container-title":"Science Advances","DOI":"10.1126/sciadv.1500052","ISSN":"2375-2548","issue":"2","journalAbbreviation":"Sci. Adv.","language":"en","page":"e1500052","source":"DOI.org (Crossref)","title":"Habitat fragmentation and its lasting impact on Earth’s ecosystems","volume":"1","author":[{"family":"Haddad","given":"Nick M."},{"family":"Brudvig","given":"Lars A."},{"family":"Clobert","given":"Jean"},{"family":"Davies","given":"Kendi F."},{"family":"Gonzalez","given":"Andrew"},{"family":"Holt","given":"Robert D."},{"family":"Lovejoy","given":"Thomas E."},{"family":"Sexton","given":"Joseph O."},{"family":"Austin","given":"Mike P."},{"family":"Collins","given":"Cathy D."},{"family":"Cook","given":"William M."},{"family":"Damschen","given":"Ellen I."},{"family":"Ewers","given":"Robert M."},{"family":"Foster","given":"Bryan L."},{"family":"Jenkins","given":"Clinton N."},{"family":"King","given":"Andrew J."},{"family":"Laurance","given":"William F."},{"family":"Levey","given":"Douglas J."},{"family":"Margules","given":"Chris R."},{"family":"Melbourne","given":"Brett A."},{"family":"Nicholls","given":"A. O."},{"family":"Orrock","given":"John L."},{"family":"Song","given":"Dan-Xia"},{"family":"Townshend","given":"John R."}],"issued":{"date-parts":[["2015",3,6]]}}}],"schema":"https://github.com/citation-style-language/schema/raw/master/csl-citation.json"} </w:instrText>
      </w:r>
      <w:r>
        <w:fldChar w:fldCharType="separate"/>
      </w:r>
      <w:r>
        <w:rPr>
          <w:rFonts w:cs="Arial"/>
        </w:rPr>
        <w:t>(Fahrig, 2003; Haddad et al., 2015)</w:t>
      </w:r>
      <w:r>
        <w:fldChar w:fldCharType="end"/>
      </w:r>
      <w:r>
        <w:t xml:space="preserve">. As landscapes become increasingly divided, populations may become isolated, reducing gene flow and potentially limiting long-term evolutionary resilience </w:t>
      </w:r>
      <w:r>
        <w:fldChar w:fldCharType="begin"/>
      </w:r>
      <w:r>
        <w:instrText xml:space="preserve"> ADDIN ZOTERO_ITEM CSL_CITATION {"citationID":"RL7KzijJ","properties":{"formattedCitation":"(Frankham, 2003)","plainCitation":"(Frankham, 2003)","noteIndex":0},"citationItems":[{"id":45,"uris":["http://zotero.org/users/12168070/items/ZUCI5YXP"],"itemData":{"id":45,"type":"article-journal","abstract":"Conservation genetics encompasses genetic management of small populations, resolution of taxonomic uncertainties and management units, and the use of molecular genetic analyses in forensics and to understanding species' biology. The role of genetic factors in extinctions of wild populations has been controversial, but evidence now shows that they make important contributions to extinction risk. Inbreeding has been shown to cause extinctions of wild populations, computer projections indicate that inbreeding depression has important effects on extinction risk, and most threatened species show signs of genetic deterioration. Inappropriate management is likely to result if genetic factors are ignored in threatened species management. © 2003 Académie des sciences. Published by Éditions scientifiques et médicales Elsevier SAS. All rights reserved.","container-title":"Comptes Rendus Biologies","DOI":"10.1016/S1631-0691(03)00023-4","ISSN":"1631-0691","issue":"SUPPL. 1","page":"22-29","PMID":"14558445","publisher":"No longer published by Elsevier","title":"Genetics and conservation biology","volume":"326","author":[{"family":"Frankham","given":"Richard"}],"issued":{"date-parts":[["2003",8]]}}}],"schema":"https://github.com/citation-style-language/schema/raw/master/csl-citation.json"} </w:instrText>
      </w:r>
      <w:r>
        <w:fldChar w:fldCharType="separate"/>
      </w:r>
      <w:r>
        <w:rPr>
          <w:rFonts w:cs="Arial"/>
        </w:rPr>
        <w:t>(Frankham, 2003)</w:t>
      </w:r>
      <w:r>
        <w:fldChar w:fldCharType="end"/>
      </w:r>
      <w:r>
        <w:t xml:space="preserve">. Conservation genetics provides tools to assess how genetic diversity is distributed across landscapes and to evaluate whether populations remain connected or function as independent units </w:t>
      </w:r>
      <w:r>
        <w:fldChar w:fldCharType="begin"/>
      </w:r>
      <w:r>
        <w:instrText xml:space="preserve"> ADDIN ZOTERO_ITEM CSL_CITATION {"citationID":"awzASZzH","properties":{"formattedCitation":"(Allendorf et al., 2022)","plainCitation":"(Allendorf et al., 2022)","noteIndex":0},"citationItems":[{"id":1324,"uris":["http://zotero.org/users/12168070/items/XUFCBHPB"],"itemData":{"id":1324,"type":"book","abstract":"Loss of biodiversity is among the greatest problems facing the world today. Conservation and the Genomics of Populations gives a comprehensive overview of the essential background, concepts, and tools needed to understand how genetic information can be used to conserve species threatened with extinction, and to manage species of ecological or commercial importance. New molecular techniques, statistical methods, and computer programs, genetic principles, and methods are becoming increasingly useful in the conservation of biological diversity. Using a balance of data and theory, coupled with basic and applied research examples, this book examines genetic and phenotypic variation in natural populations, the principles and mechanisms of evolutionary change, the interpretation of genetic data from natural populations, and how these can be applied to conservation. The book includes examples from plants, animals, and microbes in wild and captive populations. This third edition has been thoroughly revised to include advances in genomics and contains new chapters on population genomics, genetic monitoring, and conservation genetics in practice, as well as new sections on climate change, emerging diseases, metagenomics, and more. More than one-third of the references in this edition were published after the previous edition. Each of the 24 chapters and the Appendix end with a Guest Box written by an expert who provides an example of the principles presented in the chapter from their own work. This book is essential for advanced undergraduate and graduate students of conservation genetics, natural resource management, and conservation biology, as well as professional conservation biologists and policy-makers working for wildlife and habitat management agencies. Much of the book will also interest nonprofessionals who are curious about the role of genetics in conservation and management of wild and captive populations.","DOI":"10.1093/oso/9780198856566.001.0001","ISBN":"978-0-19-885656-6","publisher":"Oxford University Press","title":"Conservation and the Genomics of Populations","URL":"https://doi.org/10.1093/oso/9780198856566.001.0001","author":[{"family":"Allendorf","given":"Fred W."},{"family":"Funk","given":"W. Chris"},{"family":"Aitken","given":"Sally N."},{"family":"Byrne","given":"Margaret"},{"family":"Luikart","given":"Gordon"},{"family":"Antunes","given":"Agostinho"}],"accessed":{"date-parts":[["2026",2,23]]},"issued":{"date-parts":[["2022",2,10]]}}}],"schema":"https://github.com/citation-style-language/schema/raw/master/csl-citation.json"} </w:instrText>
      </w:r>
      <w:r>
        <w:fldChar w:fldCharType="separate"/>
      </w:r>
      <w:r>
        <w:rPr>
          <w:rFonts w:cs="Arial"/>
        </w:rPr>
        <w:t>(Allendorf et al., 2022)</w:t>
      </w:r>
      <w:r>
        <w:fldChar w:fldCharType="end"/>
      </w:r>
      <w:r>
        <w:t>.</w:t>
      </w:r>
    </w:p>
    <w:p w14:paraId="4DFC33D1" w14:textId="06244D79" w:rsidR="00DC7CDF" w:rsidRPr="00DC7CDF" w:rsidRDefault="00DC7CDF" w:rsidP="00DC7CDF">
      <w:r>
        <w:t xml:space="preserve">The Fen Raft Spider </w:t>
      </w:r>
      <w:r>
        <w:rPr>
          <w:i/>
          <w:iCs/>
        </w:rPr>
        <w:t>Dolomedes plantarius</w:t>
      </w:r>
      <w:r>
        <w:t xml:space="preserve"> is a wetland specialist of conservation concern within the United Kingdom (UK) and internationally </w:t>
      </w:r>
      <w:r>
        <w:fldChar w:fldCharType="begin"/>
      </w:r>
      <w:r>
        <w:instrText xml:space="preserve"> ADDIN ZOTERO_ITEM CSL_CITATION {"citationID":"ZMnZARNk","properties":{"formattedCitation":"(Milano et al., 2022)","plainCitation":"(Milano et al., 2022)","noteIndex":0},"citationItems":[{"id":31,"uris":["http://zotero.org/users/12168070/items/JBGMDD6I"],"itemData":{"id":31,"type":"article-journal","abstract":"Wetlands, one of the most biodiverse ecosystems in the world, are increasingly subjected to area loss and degradation due to land-use and climate changes. These factors impact their unique biodiversity, including numerous invertebrates that depend on them. Here we investigated the current and future habitat suitability of the aquatic spiders Argyroneta aquatica and Dolomedes plantarius. We evaluated future trends in their geographic range, aiming at assessing their extinction risk according to the International Union for Conservation of Nature (IUCN) Red List criteria, at both global and regional levels. We investigated present and future distribution ranges using species distribution models for two integrated emission scenarios (SSP1-2.6 and SSP5-8.5) and combining three general circulation models. These were combined with knowledge on species' dispersal limitation to account for the possibility that these species will not be able to move beyond the current range in the next decades. We found a significant future northern shift in the geographic range and a global reduction in habitat suitability for both species, corresponding to a loss of 28.9 % for A. aquatica and 38.1 % for D. plantarius in the next 10 years. The application of the IUCN criteria qualifies A. aquatica as Near Threatened and D. plantarius as Vulnerable. Regional assessments provided similar patterns of range reductions and population vulnerability across all European regions, particularly for Central-Eastern and Western Europe. Conversely, Northern Europe is expected to become a climatic refugium for both species. This work goes beyond the available studies on the conservation of these species by taking account their dispersal abilities in quantifying future trends in their habitat suitability using the most up to date knowledge. Conservation strategies should be directed towards limiting the impact of climatic and non-climatic stressors on wetlands, and towards implementing management plans and restoration programmes to increase habitat suitability and connectivity among wetland patches.","container-title":"Biological Conservation","DOI":"10.1016/j.biocon.2022.109767","ISSN":"00063207","publisher":"Elsevier Ltd","title":"Trends in habitat suitability and conservation status of aquatic spiders in Europe","volume":"275","author":[{"family":"Milano","given":"Filippo"},{"family":"Cardoso","given":"Pedro"},{"family":"Mammola","given":"Stefano"},{"family":"Smith","given":"Helen"},{"family":"Isaia","given":"Marco"}],"issued":{"date-parts":[["2022",11]]}}}],"schema":"https://github.com/citation-style-language/schema/raw/master/csl-citation.json"} </w:instrText>
      </w:r>
      <w:r>
        <w:fldChar w:fldCharType="separate"/>
      </w:r>
      <w:r>
        <w:rPr>
          <w:rFonts w:cs="Arial"/>
        </w:rPr>
        <w:t>(Milano et al., 2022)</w:t>
      </w:r>
      <w:r>
        <w:fldChar w:fldCharType="end"/>
      </w:r>
      <w:r>
        <w:t xml:space="preserve">, occurring in a limited number of fen and wetland systems characterised by specific hydrological conditions. These habitats are naturally patchy and often separated by unsuitable matrix habitat, raising questions about the extent to which populations remain genetically connected </w:t>
      </w:r>
      <w:r>
        <w:fldChar w:fldCharType="begin"/>
      </w:r>
      <w:r>
        <w:instrText xml:space="preserve"> ADDIN ZOTERO_ITEM CSL_CITATION {"citationID":"fQYQBSS1","properties":{"formattedCitation":"(Hanski, 1999)","plainCitation":"(Hanski, 1999)","noteIndex":0},"citationItems":[{"id":1333,"uris":["http://zotero.org/users/12168070/items/MIVU7SQR"],"itemData":{"id":1333,"type":"book","abstract":"Written by a world renowned biologist, this volume offers a comprehensive synthesis of current research in this rapidly expanding area of population biology. It covers both the essential theory and a wide range of empirical studies, including the author's groundbreaking work on the Glanville fritillary butterfly. It also includes practical applications to conservation biology. The book describes theoretical models for metapopulation dynamics in highly fragmented landscapes and emphasizes spatially realistic models. It presents the incidence function model and includes several detailed examples of its application. Accessible to advanced undergraduate and graduate students, Metapopulation Ecology will be a valuable resource for researchers in population biology, conservation biology, and landscape ecology.","ISBN":"978-0-19-854066-3","note":"type: 10.1093/oso/9780198540663.001.0001","publisher":"Oxford University Press","title":"Metapopulation Ecology","URL":"https://doi.org/10.1093/oso/9780198540663.001.0001","author":[{"family":"Hanski","given":"llkka"}],"issued":{"date-parts":[["1999",10,31]]}}}],"schema":"https://github.com/citation-style-language/schema/raw/master/csl-citation.json"} </w:instrText>
      </w:r>
      <w:r>
        <w:fldChar w:fldCharType="separate"/>
      </w:r>
      <w:r>
        <w:rPr>
          <w:rFonts w:cs="Arial"/>
        </w:rPr>
        <w:t>(Hanski, 1999)</w:t>
      </w:r>
      <w:r>
        <w:fldChar w:fldCharType="end"/>
      </w:r>
      <w:r>
        <w:t>. Although conservation management has focused on habitat protection and population monitoring, the genetic relationships among UK populations remain poorly resolved.</w:t>
      </w:r>
    </w:p>
    <w:p w14:paraId="5F5CB682" w14:textId="7959ED4D" w:rsidR="00DC7CDF" w:rsidRPr="00DC7CDF" w:rsidRDefault="00DC7CDF" w:rsidP="00DC7CDF">
      <w:r>
        <w:t xml:space="preserve">Understanding population connectivity is particularly important for species occupying fragmented habitats, where geographic proximity does not necessarily correspond to dispersal or gene flow </w:t>
      </w:r>
      <w:r>
        <w:fldChar w:fldCharType="begin"/>
      </w:r>
      <w:r>
        <w:instrText xml:space="preserve"> ADDIN ZOTERO_ITEM CSL_CITATION {"citationID":"GuHdajGf","properties":{"formattedCitation":"(Crooks &amp; Sanjayan, 2006; Lowe &amp; Allendorf, 2010)","plainCitation":"(Crooks &amp; Sanjayan, 2006; Lowe &amp; Allendorf, 2010)","noteIndex":0},"citationItems":[{"id":1326,"uris":["http://zotero.org/users/12168070/items/AECJF36I"],"itemData":{"id":1326,"type":"book","abstract":"One of the biggest threats to the survival of many plant and animal species is the destruction or fragmentation of their natural habitats. The conservation of landscape connections, where animals, plants, and ecological processes can move freely from one habitat to another, is therefore an essential part of any new conservation or environmental protection plan. In practice, however, maintaining, creating, and protecting connectivity in our increasingly dissected world is a daunting challenge. This fascinating volume provides a synthesis on the current status and literature of connectivity conservation research and implementation. It shows the challenges involved in applying existing knowledge to real-world examples and highlights areas in need of further study. Containing contributions from leading scientists and practitioners, this topical and thought-provoking volume will be essential reading for graduate students, researchers, and practitioners working in conservation biology and natural resource management.","archive":"Cambridge Core","collection-title":"Conservation Biology","DOI":"10.1017/CBO9780511754821","ISBN":"978-0-521-67381-5","publisher":"Cambridge University Press","publisher-place":"Cambridge","source":"Cambridge University Press","title":"Connectivity Conservation","URL":"https://www.cambridge.org/core/product/4601E1BD535CC098BD375786F85B718D","editor":[{"family":"Crooks","given":"Kevin R."},{"family":"Sanjayan","given":"M."}],"issued":{"date-parts":[["2006"]]}}},{"id":1329,"uris":["http://zotero.org/users/12168070/items/WAU8YKGG"],"itemData":{"id":1329,"type":"article-journal","abstract":"Abstract Genetic data are often used to assess ?population connectivity? because it is difficult to measure dispersal directly at large spatial scales. Genetic connectivity, however, depends primarily on the absolute number of dispersers among populations, whereas demographic connectivity depends on the relative contributions to population growth rates of dispersal vs. local recruitment (i.e. survival and reproduction of residents). Although many questions are best answered with data on genetic connectivity, genetic data alone provide little information on demographic connectivity. The importance of demographic connectivity is clear when the elimination of immigration results in a shift from stable or positive population growth to negative population growth. Otherwise, the amount of dispersal required for demographic connectivity depends on the context (e.g. conservation or harvest management), and even high dispersal rates may not indicate demographic interdependence. Therefore, it is risky to infer the importance of demographic connectivity without information on local demographic rates and how those rates vary over time. Genetic methods can provide insight on demographic connectivity when combined with these local demographic rates, data on movement behaviour, or estimates of reproductive success of immigrants and residents. We also consider the strengths and limitations of genetic measures of connectivity and discuss three concepts of genetic connectivity that depend upon the evolutionary criteria of interest: inbreeding connectivity, drift connectivity, and adaptive connectivity. To conclude, we describe alternative approaches for assessing population connectivity, highlighting the value of combining genetic data with capture-mark-recapture methods or other direct measures of movement to elucidate the complex role of dispersal in natural populations.","container-title":"Molecular Ecology","DOI":"10.1111/j.1365-294X.2010.04688.x","ISSN":"0962-1083","issue":"15","journalAbbreviation":"Molecular Ecology","page":"3038-3051","publisher":"John Wiley &amp; Sons, Ltd","title":"What can genetics tell us about population connectivity?","volume":"19","author":[{"family":"Lowe","given":"Winsor H."},{"family":"Allendorf","given":"Fred W."}],"issued":{"date-parts":[["2010",8,1]]}}}],"schema":"https://github.com/citation-style-language/schema/raw/master/csl-citation.json"} </w:instrText>
      </w:r>
      <w:r>
        <w:fldChar w:fldCharType="separate"/>
      </w:r>
      <w:r>
        <w:rPr>
          <w:rFonts w:cs="Arial"/>
        </w:rPr>
        <w:t>(Crooks &amp; Sanjayan, 2006; Lowe &amp; Allendorf, 2010)</w:t>
      </w:r>
      <w:r>
        <w:fldChar w:fldCharType="end"/>
      </w:r>
      <w:r>
        <w:t xml:space="preserve">. Genetic data can therefore provide critical insight into whether populations operate as components of a larger metapopulation or represent partially isolated demographic units requiring independent management consideration </w:t>
      </w:r>
      <w:r>
        <w:fldChar w:fldCharType="begin"/>
      </w:r>
      <w:r>
        <w:instrText xml:space="preserve"> ADDIN ZOTERO_ITEM CSL_CITATION {"citationID":"AtZdb2UB","properties":{"formattedCitation":"(Holderegger &amp; Wagner, 2008)","plainCitation":"(Holderegger &amp; Wagner, 2008)","noteIndex":0},"citationItems":[{"id":1337,"uris":["http://zotero.org/users/12168070/items/ZC7URX94"],"itemData":{"id":1337,"type":"article-journal","abstract":"Landscape genetics is a rapidly evolving interdisciplinary field that integrates approaches from population genetics and landscape ecology. In the context of habitat fragmentation, the current focus of landscape genetics is on assessing the degree to which landscapes facilitate the movement of organisms (landscape connectivity) by relating gene-flow patterns to landscape structure. Neutral genetic variation among individuals or direct estimates of current gene flow are statistically related to landscape characteristics such as the presence of hypothesized barriers or the least-cost distance for an organism to move from one habitat patch to another, given the nature of the intervening matrix or habitat types. In the context of global change, a major challenge for landscape genetics is to address the spread of adaptive variation across landscapes. Genome scans combined with genetic sample collection along environmental gradients or in different habitat types attempt to identify molecular markers that are statistically related to specific environmental conditions, indicating adaptive genetic variation. The landscape genetics of adaptive variation may also help answer fundamental questions about the collective evolution of populations.","container-title":"BioScience","issue":"3","note":"ISBN: 0006-3568\ntype: 10.1641/B580306","page":"199-207","title":"Landscape Genetics","volume":"58","author":[{"family":"Holderegger","given":"Rolf"},{"family":"Wagner","given":"Helene H."}],"issued":{"date-parts":[["2008"]]}}}],"schema":"https://github.com/citation-style-language/schema/raw/master/csl-citation.json"} </w:instrText>
      </w:r>
      <w:r>
        <w:fldChar w:fldCharType="separate"/>
      </w:r>
      <w:r>
        <w:rPr>
          <w:rFonts w:cs="Arial"/>
        </w:rPr>
        <w:t>(Holderegger &amp; Wagner, 2008)</w:t>
      </w:r>
      <w:r>
        <w:fldChar w:fldCharType="end"/>
      </w:r>
      <w:r>
        <w:t>.</w:t>
      </w:r>
    </w:p>
    <w:p w14:paraId="2615A168" w14:textId="785433C1" w:rsidR="009A364A" w:rsidRPr="009A364A" w:rsidRDefault="009A364A" w:rsidP="009A364A">
      <w:r>
        <w:t xml:space="preserve">The aim of this study was to assess genetic diversity and structure across the current range of </w:t>
      </w:r>
      <w:r>
        <w:rPr>
          <w:i/>
          <w:iCs/>
        </w:rPr>
        <w:t>Dolomedes plantarius</w:t>
      </w:r>
      <w:r>
        <w:t xml:space="preserve"> in East Sussex, United Kingdom, using mitochondrial (COI) and nuclear (H3) genetic markers. Mitochondrial DNA is maternally inherited and typically evolves more rapidly, providing insight into female lineage history and recent demographic processes, whereas nuclear markers such as Histone H3 are </w:t>
      </w:r>
      <w:r w:rsidR="0050699C">
        <w:t>biparentally inherited</w:t>
      </w:r>
      <w:r>
        <w:t xml:space="preserve"> and evolve more slowly, reflecting broader patterns of gene flow and longer-term population connectivity. In recent years, an increasing number of records have documented the species in outlying areas of the Pevensey Levels and in adjacent catchments where it had not previously been recorded. These sites were not initially considered discrete populations but were analysed as separate units to test whether genetic differentiation supports their recognition as independent </w:t>
      </w:r>
      <w:r w:rsidR="0050699C">
        <w:t>components of the population</w:t>
      </w:r>
      <w:r>
        <w:t xml:space="preserve">. These observations raised questions regarding the origin of newly detected populations, specifically whether they represent recent colonisation events, previously undetected relict populations, or expansion from established core sites. Addressing these questions </w:t>
      </w:r>
      <w:r>
        <w:lastRenderedPageBreak/>
        <w:t xml:space="preserve">formed a central motivation for the present project and underpinned the award of funding for a population genetic assessment. </w:t>
      </w:r>
    </w:p>
    <w:p w14:paraId="26DDDC5D" w14:textId="41559052" w:rsidR="009A364A" w:rsidRPr="009A364A" w:rsidRDefault="009A364A" w:rsidP="009A364A">
      <w:r>
        <w:t xml:space="preserve">This work was conducted in parallel with the first comprehensive survey of the distribution of </w:t>
      </w:r>
      <w:r>
        <w:rPr>
          <w:i/>
          <w:iCs/>
        </w:rPr>
        <w:t>D. plantarius</w:t>
      </w:r>
      <w:r>
        <w:t xml:space="preserve"> across the region since 1990</w:t>
      </w:r>
      <w:r w:rsidR="00F1378E">
        <w:t xml:space="preserve">, </w:t>
      </w:r>
      <w:r>
        <w:t>allowing genetic patterns to be interpreted alongside updated distributional data. Together, these complementary approaches provide an opportunity to evaluate connectivity among sites and to place recent range observations within a broader ecological and historical context.</w:t>
      </w:r>
    </w:p>
    <w:p w14:paraId="02D2946A" w14:textId="2FB28CDC" w:rsidR="00DC7CDF" w:rsidRPr="00DC7CDF" w:rsidRDefault="009A364A" w:rsidP="00DC7CDF">
      <w:r>
        <w:t xml:space="preserve">The study fulfils the project's population genetic assessment objectives while establishing a baseline framework for forthcoming low-coverage </w:t>
      </w:r>
      <w:r w:rsidR="00A73893">
        <w:t>whole-genome</w:t>
      </w:r>
      <w:r>
        <w:t xml:space="preserve"> sequencing (</w:t>
      </w:r>
      <w:proofErr w:type="spellStart"/>
      <w:r>
        <w:t>lcWGS</w:t>
      </w:r>
      <w:proofErr w:type="spellEnd"/>
      <w:r>
        <w:t xml:space="preserve">) analyses through the NERC Environmental Omics Facility (NEOF). These genomic analyses will extend the investigation of connectivity, demographic history, and population persistence at genome-wide resolution </w:t>
      </w:r>
      <w:r>
        <w:fldChar w:fldCharType="begin"/>
      </w:r>
      <w:r>
        <w:instrText xml:space="preserve"> ADDIN ZOTERO_ITEM CSL_CITATION {"citationID":"HNkcEQnt","properties":{"formattedCitation":"(Ellegren, 2014; Supple &amp; Shapiro, 2018)","plainCitation":"(Ellegren, 2014; Supple &amp; Shapiro, 2018)","noteIndex":0},"citationItems":[{"id":1332,"uris":["http://zotero.org/users/12168070/items/7S7DZFGW"],"itemData":{"id":1332,"type":"article-journal","abstract":"High-throughput sequencing technologies are revolutionizing the life sciences. The past 12 months have seen a burst of genome sequences from non-model organisms, in each case representing a fundamental source of data of significant importance to biological research. This has bearing on several aspects of evolutionary biology, and we are now beginning to see patterns emerging from these studies. These include significant heterogeneity in the rate of recombination that affects adaptive evolution and base composition, the role of population size in adaptive evolution, and the importance of expansion of gene families in lineage-specific adaptation. Moreover, resequencing of population samples (population genomics) has enabled the identification of the genetic basis of critical phenotypes and cast light on the landscape of genomic divergence during speciation.","container-title":"Trends in Ecology &amp; Evolution","DOI":"10.1016/j.tree.2013.09.008","ISSN":"0169-5347","issue":"1","journalAbbreviation":"Trends in Ecology &amp; Evolution","page":"51-63","title":"Genome sequencing and population genomics in non-model organisms","volume":"29","author":[{"family":"Ellegren","given":"Hans"}],"issued":{"date-parts":[["2014",1,1]]}}},{"id":1331,"uris":["http://zotero.org/users/12168070/items/ERMDHR59"],"itemData":{"id":1331,"type":"article-journal","abstract":"\"Conservation genomics\" encompasses the idea that genome-scale data will improve the capacity of resource managers to protect species. Although genetic approaches  have long been used in conservation research, it has only recently become  tractable to generate genome-wide data at a scale that is useful for  conservation. In this Review, we discuss how genome-scale data can inform species  delineation in the face of admixture, facilitate evolution through the  identification of adaptive alleles, and enhance evolutionary rescue based on  genomic patterns of inbreeding. As genomic approaches become more widely adopted  in conservation, we expect that they will have a positive impact on management  and policy decisions.","container-title":"Genome biology","DOI":"10.1186/s13059-018-1520-3","ISSN":"1474-760X 1474-7596","issue":"1","journalAbbreviation":"Genome Biol","language":"eng","page":"131","PMID":"30205843","PMCID":"PMC6131752","publisher-place":"England","title":"Conservation of biodiversity in the genomics era","volume":"19","author":[{"family":"Supple","given":"Megan A."},{"family":"Shapiro","given":"Beth"}],"issued":{"date-parts":[["2018",9,11]]}}}],"schema":"https://github.com/citation-style-language/schema/raw/master/csl-citation.json"} </w:instrText>
      </w:r>
      <w:r>
        <w:fldChar w:fldCharType="separate"/>
      </w:r>
      <w:r>
        <w:rPr>
          <w:rFonts w:cs="Arial"/>
        </w:rPr>
        <w:t>(Ellegren, 2014; Supple &amp; Shapiro, 2018)</w:t>
      </w:r>
      <w:r>
        <w:fldChar w:fldCharType="end"/>
      </w:r>
      <w:r>
        <w:t>.</w:t>
      </w:r>
    </w:p>
    <w:p w14:paraId="195171F7" w14:textId="77777777" w:rsidR="006C1BC4" w:rsidRDefault="006C1BC4" w:rsidP="00AC039E"/>
    <w:p w14:paraId="2F78E23C" w14:textId="77777777" w:rsidR="006C1BC4" w:rsidRDefault="006C1BC4" w:rsidP="00AC039E"/>
    <w:p w14:paraId="7635A792" w14:textId="77777777" w:rsidR="006C1BC4" w:rsidRDefault="006C1BC4" w:rsidP="00AC039E"/>
    <w:p w14:paraId="33C0879D" w14:textId="77777777" w:rsidR="009A364A" w:rsidRDefault="009A364A" w:rsidP="00AC039E"/>
    <w:p w14:paraId="5904E9E1" w14:textId="77777777" w:rsidR="009A364A" w:rsidRDefault="009A364A" w:rsidP="00AC039E"/>
    <w:p w14:paraId="40E69844" w14:textId="77777777" w:rsidR="009A364A" w:rsidRDefault="009A364A" w:rsidP="00AC039E"/>
    <w:p w14:paraId="777B7499" w14:textId="77777777" w:rsidR="009A364A" w:rsidRDefault="009A364A" w:rsidP="00AC039E"/>
    <w:p w14:paraId="4CBEA05A" w14:textId="77777777" w:rsidR="009A364A" w:rsidRDefault="009A364A" w:rsidP="00AC039E"/>
    <w:p w14:paraId="3C16C25D" w14:textId="77777777" w:rsidR="009A364A" w:rsidRDefault="009A364A" w:rsidP="00AC039E"/>
    <w:p w14:paraId="23CEA554" w14:textId="77777777" w:rsidR="009A364A" w:rsidRDefault="009A364A" w:rsidP="00AC039E"/>
    <w:p w14:paraId="0022E797" w14:textId="77777777" w:rsidR="009A364A" w:rsidRDefault="009A364A" w:rsidP="00AC039E"/>
    <w:p w14:paraId="6F2B481C" w14:textId="77777777" w:rsidR="009A364A" w:rsidRDefault="009A364A" w:rsidP="00AC039E"/>
    <w:p w14:paraId="7029A661" w14:textId="77777777" w:rsidR="009A364A" w:rsidRDefault="009A364A" w:rsidP="00AC039E"/>
    <w:p w14:paraId="32D011BB" w14:textId="77777777" w:rsidR="009A364A" w:rsidRDefault="009A364A" w:rsidP="00AC039E"/>
    <w:p w14:paraId="507970C0" w14:textId="77777777" w:rsidR="009A364A" w:rsidRDefault="009A364A" w:rsidP="00AC039E"/>
    <w:p w14:paraId="4CB95688" w14:textId="282158B9" w:rsidR="00AC039E" w:rsidRDefault="00AC039E" w:rsidP="00AC039E">
      <w:pPr>
        <w:pStyle w:val="Heading1"/>
      </w:pPr>
      <w:bookmarkStart w:id="1" w:name="_Toc225146204"/>
      <w:r>
        <w:lastRenderedPageBreak/>
        <w:t>Methodology</w:t>
      </w:r>
      <w:bookmarkEnd w:id="1"/>
    </w:p>
    <w:p w14:paraId="39BB798B" w14:textId="4DBD6C74" w:rsidR="00C064E0" w:rsidRDefault="00486085" w:rsidP="00486085">
      <w:pPr>
        <w:pStyle w:val="Heading2"/>
      </w:pPr>
      <w:bookmarkStart w:id="2" w:name="_Toc225146205"/>
      <w:r>
        <w:t>Sampling</w:t>
      </w:r>
      <w:bookmarkEnd w:id="2"/>
    </w:p>
    <w:p w14:paraId="2D5E13C3" w14:textId="27F4071C" w:rsidR="00E972CC" w:rsidRDefault="004004A3" w:rsidP="004004A3">
      <w:r>
        <w:t xml:space="preserve">Specimens of </w:t>
      </w:r>
      <w:r>
        <w:rPr>
          <w:i/>
          <w:iCs/>
        </w:rPr>
        <w:t>D. plantarius</w:t>
      </w:r>
      <w:r>
        <w:t xml:space="preserve"> were collected under license between 12 and 14 August 2025 from six locations in East Sussex, UK (AP = Ashburnham Place, BMF = Beech Mill Farm, CC = Carter’s Corner, CV = Combe Valley, EB = Eastbourne and PLR = Pevensey Levels Reserve). Ten specimens were collected per location. Surveys were conducted during daytime hours between approximately 09:00 and 18:00 GMT. Exact sampling locations were recorded using WGS84 geographic coordinates (Figure 1; Table 1).</w:t>
      </w:r>
    </w:p>
    <w:p w14:paraId="3262AB24" w14:textId="69148955" w:rsidR="00E972CC" w:rsidRDefault="009A364A" w:rsidP="004004A3">
      <w:r>
        <w:rPr>
          <w:noProof/>
          <w14:ligatures w14:val="standardContextual"/>
        </w:rPr>
        <w:drawing>
          <wp:inline distT="0" distB="0" distL="0" distR="0" wp14:anchorId="53E572B8" wp14:editId="5F2A2995">
            <wp:extent cx="5366948" cy="4800600"/>
            <wp:effectExtent l="0" t="0" r="5715" b="0"/>
            <wp:docPr id="1427072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72109" name="Picture 1427072109"/>
                    <pic:cNvPicPr/>
                  </pic:nvPicPr>
                  <pic:blipFill rotWithShape="1">
                    <a:blip r:embed="rId8">
                      <a:extLst>
                        <a:ext uri="{28A0092B-C50C-407E-A947-70E740481C1C}">
                          <a14:useLocalDpi xmlns:a14="http://schemas.microsoft.com/office/drawing/2010/main" val="0"/>
                        </a:ext>
                      </a:extLst>
                    </a:blip>
                    <a:srcRect l="4487" t="4660" r="4277"/>
                    <a:stretch>
                      <a:fillRect/>
                    </a:stretch>
                  </pic:blipFill>
                  <pic:spPr bwMode="auto">
                    <a:xfrm>
                      <a:off x="0" y="0"/>
                      <a:ext cx="5369117" cy="4802540"/>
                    </a:xfrm>
                    <a:prstGeom prst="rect">
                      <a:avLst/>
                    </a:prstGeom>
                    <a:ln>
                      <a:noFill/>
                    </a:ln>
                    <a:extLst>
                      <a:ext uri="{53640926-AAD7-44D8-BBD7-CCE9431645EC}">
                        <a14:shadowObscured xmlns:a14="http://schemas.microsoft.com/office/drawing/2010/main"/>
                      </a:ext>
                    </a:extLst>
                  </pic:spPr>
                </pic:pic>
              </a:graphicData>
            </a:graphic>
          </wp:inline>
        </w:drawing>
      </w:r>
    </w:p>
    <w:p w14:paraId="0D73AE87" w14:textId="44819A18" w:rsidR="00E972CC" w:rsidRDefault="00E972CC" w:rsidP="002E470D">
      <w:pPr>
        <w:pStyle w:val="Caption"/>
      </w:pPr>
      <w:r>
        <w:t>Figure 1 Map of the six sampling sites across East Sussex, UK. Red points indicate centred collection localities, labelled by site code</w:t>
      </w:r>
      <w:r w:rsidR="000B496E">
        <w:t xml:space="preserve">. </w:t>
      </w:r>
      <w:r w:rsidR="00D42FF0">
        <w:t xml:space="preserve"> </w:t>
      </w:r>
      <w:r>
        <w:t>Coordinates are in WGS84 decimal degrees. Basemap © OpenStreetMap contributors.</w:t>
      </w:r>
    </w:p>
    <w:p w14:paraId="64BB729E" w14:textId="77777777" w:rsidR="002E470D" w:rsidRPr="002E470D" w:rsidRDefault="002E470D" w:rsidP="002E470D"/>
    <w:p w14:paraId="26EC69FB" w14:textId="2A9654F1" w:rsidR="002B0E86" w:rsidRDefault="002B0E86" w:rsidP="008932D7">
      <w:pPr>
        <w:pStyle w:val="Caption"/>
      </w:pPr>
      <w:r>
        <w:t>Table 1 Centred WGS84 geographic coordinates of sampling sites</w:t>
      </w:r>
    </w:p>
    <w:tbl>
      <w:tblPr>
        <w:tblStyle w:val="TableStyle4"/>
        <w:tblW w:w="0" w:type="auto"/>
        <w:tblLook w:val="04A0" w:firstRow="1" w:lastRow="0" w:firstColumn="1" w:lastColumn="0" w:noHBand="0" w:noVBand="1"/>
      </w:tblPr>
      <w:tblGrid>
        <w:gridCol w:w="1627"/>
        <w:gridCol w:w="1555"/>
        <w:gridCol w:w="1628"/>
      </w:tblGrid>
      <w:tr w:rsidR="003448CC" w14:paraId="3FB262F9" w14:textId="77777777" w:rsidTr="005C33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7" w:type="dxa"/>
          </w:tcPr>
          <w:p w14:paraId="04EDC518" w14:textId="53F17503" w:rsidR="00646687" w:rsidRPr="00646687" w:rsidRDefault="00646687" w:rsidP="00646687">
            <w:pPr>
              <w:spacing w:before="360" w:after="0"/>
              <w:rPr>
                <w:b w:val="0"/>
              </w:rPr>
            </w:pPr>
            <w:r>
              <w:t>Site</w:t>
            </w:r>
          </w:p>
        </w:tc>
        <w:tc>
          <w:tcPr>
            <w:tcW w:w="1555" w:type="dxa"/>
          </w:tcPr>
          <w:p w14:paraId="30AED973" w14:textId="64F1486C" w:rsidR="003448CC" w:rsidRDefault="003448CC" w:rsidP="005C3334">
            <w:pPr>
              <w:spacing w:before="360" w:after="0"/>
              <w:cnfStyle w:val="100000000000" w:firstRow="1" w:lastRow="0" w:firstColumn="0" w:lastColumn="0" w:oddVBand="0" w:evenVBand="0" w:oddHBand="0" w:evenHBand="0" w:firstRowFirstColumn="0" w:firstRowLastColumn="0" w:lastRowFirstColumn="0" w:lastRowLastColumn="0"/>
              <w:rPr>
                <w:b w:val="0"/>
                <w:iCs/>
                <w:szCs w:val="18"/>
              </w:rPr>
            </w:pPr>
            <w:r>
              <w:t>Latitude (°N)</w:t>
            </w:r>
          </w:p>
        </w:tc>
        <w:tc>
          <w:tcPr>
            <w:tcW w:w="1628" w:type="dxa"/>
          </w:tcPr>
          <w:p w14:paraId="3ED8DF4D" w14:textId="17744F59" w:rsidR="003448CC" w:rsidRDefault="003448CC" w:rsidP="005C3334">
            <w:pPr>
              <w:spacing w:before="360" w:after="0"/>
              <w:cnfStyle w:val="100000000000" w:firstRow="1" w:lastRow="0" w:firstColumn="0" w:lastColumn="0" w:oddVBand="0" w:evenVBand="0" w:oddHBand="0" w:evenHBand="0" w:firstRowFirstColumn="0" w:firstRowLastColumn="0" w:lastRowFirstColumn="0" w:lastRowLastColumn="0"/>
              <w:rPr>
                <w:b w:val="0"/>
                <w:iCs/>
                <w:szCs w:val="18"/>
              </w:rPr>
            </w:pPr>
            <w:r>
              <w:t>Longitude (°E)</w:t>
            </w:r>
          </w:p>
        </w:tc>
      </w:tr>
      <w:tr w:rsidR="003448CC" w14:paraId="6EBFDF47" w14:textId="77777777" w:rsidTr="005C33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7" w:type="dxa"/>
          </w:tcPr>
          <w:p w14:paraId="398BBA68" w14:textId="6414C353" w:rsidR="003448CC" w:rsidRDefault="003448CC" w:rsidP="005C3334">
            <w:pPr>
              <w:spacing w:before="360" w:after="0"/>
              <w:rPr>
                <w:b w:val="0"/>
                <w:iCs/>
                <w:szCs w:val="18"/>
              </w:rPr>
            </w:pPr>
            <w:r>
              <w:t>AP</w:t>
            </w:r>
          </w:p>
        </w:tc>
        <w:tc>
          <w:tcPr>
            <w:tcW w:w="1555" w:type="dxa"/>
          </w:tcPr>
          <w:p w14:paraId="407AFA5A" w14:textId="0B9637A0" w:rsidR="003448CC" w:rsidRDefault="003448CC" w:rsidP="005C333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50.903905</w:t>
            </w:r>
          </w:p>
        </w:tc>
        <w:tc>
          <w:tcPr>
            <w:tcW w:w="1628" w:type="dxa"/>
          </w:tcPr>
          <w:p w14:paraId="48E32EFA" w14:textId="1CE09AE4" w:rsidR="003448CC" w:rsidRDefault="003448CC" w:rsidP="005C333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0.403013</w:t>
            </w:r>
          </w:p>
        </w:tc>
      </w:tr>
      <w:tr w:rsidR="003448CC" w14:paraId="3012BBD8" w14:textId="77777777" w:rsidTr="005C3334">
        <w:tc>
          <w:tcPr>
            <w:cnfStyle w:val="001000000000" w:firstRow="0" w:lastRow="0" w:firstColumn="1" w:lastColumn="0" w:oddVBand="0" w:evenVBand="0" w:oddHBand="0" w:evenHBand="0" w:firstRowFirstColumn="0" w:firstRowLastColumn="0" w:lastRowFirstColumn="0" w:lastRowLastColumn="0"/>
            <w:tcW w:w="1627" w:type="dxa"/>
          </w:tcPr>
          <w:p w14:paraId="51E591CA" w14:textId="6FA2E548" w:rsidR="003448CC" w:rsidRDefault="003448CC" w:rsidP="005C3334">
            <w:pPr>
              <w:spacing w:before="360" w:after="0"/>
              <w:rPr>
                <w:b w:val="0"/>
                <w:iCs/>
                <w:szCs w:val="18"/>
              </w:rPr>
            </w:pPr>
            <w:r>
              <w:t>BMF</w:t>
            </w:r>
          </w:p>
        </w:tc>
        <w:tc>
          <w:tcPr>
            <w:tcW w:w="1555" w:type="dxa"/>
          </w:tcPr>
          <w:p w14:paraId="6F16DAE8" w14:textId="5742EDCC" w:rsidR="003448CC" w:rsidRDefault="003448CC" w:rsidP="005C333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50.925170</w:t>
            </w:r>
          </w:p>
        </w:tc>
        <w:tc>
          <w:tcPr>
            <w:tcW w:w="1628" w:type="dxa"/>
          </w:tcPr>
          <w:p w14:paraId="5AD8DF08" w14:textId="3DA981A7" w:rsidR="003448CC" w:rsidRDefault="003448CC" w:rsidP="005C333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0.452366</w:t>
            </w:r>
          </w:p>
        </w:tc>
      </w:tr>
      <w:tr w:rsidR="003448CC" w14:paraId="3971ECFB" w14:textId="77777777" w:rsidTr="005C33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7" w:type="dxa"/>
          </w:tcPr>
          <w:p w14:paraId="59BD16D3" w14:textId="2ADFB5A4" w:rsidR="003448CC" w:rsidRDefault="003448CC" w:rsidP="005C3334">
            <w:pPr>
              <w:spacing w:before="360" w:after="0"/>
              <w:rPr>
                <w:b w:val="0"/>
                <w:iCs/>
                <w:szCs w:val="18"/>
              </w:rPr>
            </w:pPr>
            <w:r>
              <w:t>CC</w:t>
            </w:r>
          </w:p>
        </w:tc>
        <w:tc>
          <w:tcPr>
            <w:tcW w:w="1555" w:type="dxa"/>
          </w:tcPr>
          <w:p w14:paraId="46216FD3" w14:textId="6348237A" w:rsidR="003448CC" w:rsidRDefault="003448CC" w:rsidP="005C333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50.885174</w:t>
            </w:r>
          </w:p>
        </w:tc>
        <w:tc>
          <w:tcPr>
            <w:tcW w:w="1628" w:type="dxa"/>
          </w:tcPr>
          <w:p w14:paraId="0BCBBCF5" w14:textId="6185E36C" w:rsidR="003448CC" w:rsidRDefault="003448CC" w:rsidP="005C333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0.284850</w:t>
            </w:r>
          </w:p>
        </w:tc>
      </w:tr>
      <w:tr w:rsidR="003448CC" w14:paraId="207FFA11" w14:textId="77777777" w:rsidTr="005C3334">
        <w:tc>
          <w:tcPr>
            <w:cnfStyle w:val="001000000000" w:firstRow="0" w:lastRow="0" w:firstColumn="1" w:lastColumn="0" w:oddVBand="0" w:evenVBand="0" w:oddHBand="0" w:evenHBand="0" w:firstRowFirstColumn="0" w:firstRowLastColumn="0" w:lastRowFirstColumn="0" w:lastRowLastColumn="0"/>
            <w:tcW w:w="1627" w:type="dxa"/>
          </w:tcPr>
          <w:p w14:paraId="5A54B2B3" w14:textId="687299D9" w:rsidR="003448CC" w:rsidRDefault="003448CC" w:rsidP="005C3334">
            <w:pPr>
              <w:spacing w:before="360" w:after="0"/>
              <w:rPr>
                <w:b w:val="0"/>
                <w:iCs/>
                <w:szCs w:val="18"/>
              </w:rPr>
            </w:pPr>
            <w:r>
              <w:t>CV</w:t>
            </w:r>
          </w:p>
        </w:tc>
        <w:tc>
          <w:tcPr>
            <w:tcW w:w="1555" w:type="dxa"/>
          </w:tcPr>
          <w:p w14:paraId="7E58615A" w14:textId="0F84FE17" w:rsidR="003448CC" w:rsidRDefault="003448CC" w:rsidP="005C333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50.865634</w:t>
            </w:r>
          </w:p>
        </w:tc>
        <w:tc>
          <w:tcPr>
            <w:tcW w:w="1628" w:type="dxa"/>
          </w:tcPr>
          <w:p w14:paraId="1F9BC238" w14:textId="7C146D2D" w:rsidR="003448CC" w:rsidRDefault="003448CC" w:rsidP="005C333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0.503440</w:t>
            </w:r>
          </w:p>
        </w:tc>
      </w:tr>
      <w:tr w:rsidR="003448CC" w14:paraId="665AFE4D" w14:textId="77777777" w:rsidTr="005C33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7" w:type="dxa"/>
          </w:tcPr>
          <w:p w14:paraId="627C15B6" w14:textId="36AD59B9" w:rsidR="003448CC" w:rsidRDefault="003448CC" w:rsidP="005C3334">
            <w:pPr>
              <w:spacing w:before="360" w:after="0"/>
              <w:rPr>
                <w:b w:val="0"/>
                <w:iCs/>
                <w:szCs w:val="18"/>
              </w:rPr>
            </w:pPr>
            <w:r>
              <w:t>EB</w:t>
            </w:r>
          </w:p>
        </w:tc>
        <w:tc>
          <w:tcPr>
            <w:tcW w:w="1555" w:type="dxa"/>
          </w:tcPr>
          <w:p w14:paraId="4D59CEF8" w14:textId="3357EA25" w:rsidR="003448CC" w:rsidRDefault="003448CC" w:rsidP="005C333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50.795588</w:t>
            </w:r>
          </w:p>
        </w:tc>
        <w:tc>
          <w:tcPr>
            <w:tcW w:w="1628" w:type="dxa"/>
          </w:tcPr>
          <w:p w14:paraId="0965D07F" w14:textId="4EBE6269" w:rsidR="003448CC" w:rsidRDefault="003448CC" w:rsidP="005C333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0.299415</w:t>
            </w:r>
          </w:p>
        </w:tc>
      </w:tr>
      <w:tr w:rsidR="003448CC" w14:paraId="146899A7" w14:textId="77777777" w:rsidTr="005C3334">
        <w:tc>
          <w:tcPr>
            <w:cnfStyle w:val="001000000000" w:firstRow="0" w:lastRow="0" w:firstColumn="1" w:lastColumn="0" w:oddVBand="0" w:evenVBand="0" w:oddHBand="0" w:evenHBand="0" w:firstRowFirstColumn="0" w:firstRowLastColumn="0" w:lastRowFirstColumn="0" w:lastRowLastColumn="0"/>
            <w:tcW w:w="1627" w:type="dxa"/>
          </w:tcPr>
          <w:p w14:paraId="2CFE28E6" w14:textId="78D22F3B" w:rsidR="003448CC" w:rsidRDefault="003448CC" w:rsidP="005C3334">
            <w:pPr>
              <w:spacing w:before="360" w:after="0"/>
              <w:rPr>
                <w:b w:val="0"/>
                <w:iCs/>
                <w:szCs w:val="18"/>
              </w:rPr>
            </w:pPr>
            <w:r>
              <w:t>PLR</w:t>
            </w:r>
          </w:p>
        </w:tc>
        <w:tc>
          <w:tcPr>
            <w:tcW w:w="1555" w:type="dxa"/>
          </w:tcPr>
          <w:p w14:paraId="2D73D619" w14:textId="326AE983" w:rsidR="003448CC" w:rsidRDefault="003448CC" w:rsidP="005C333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50.854099</w:t>
            </w:r>
          </w:p>
        </w:tc>
        <w:tc>
          <w:tcPr>
            <w:tcW w:w="1628" w:type="dxa"/>
          </w:tcPr>
          <w:p w14:paraId="4FE94F0E" w14:textId="4A8D22D4" w:rsidR="003448CC" w:rsidRDefault="003448CC" w:rsidP="005C333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0.340748</w:t>
            </w:r>
          </w:p>
        </w:tc>
      </w:tr>
    </w:tbl>
    <w:p w14:paraId="7A17FA64" w14:textId="77777777" w:rsidR="002B0E86" w:rsidRDefault="002B0E86" w:rsidP="004004A3"/>
    <w:p w14:paraId="698DBC88" w14:textId="46783308" w:rsidR="00486085" w:rsidRDefault="00646687" w:rsidP="004004A3">
      <w:r>
        <w:t>Individuals were collected during targeted field surveys focused on locations with recent outlying records and sites representing the established core distribution, where the species has been consistently recorded at higher abundance. Sampling was aimed at comparing peripheral sites and the core population rather than obtaining statistically representative coverage across the entire known range. Sampling locations were selected to address questions relating to recent distributional changes and potential population expansion. Individuals were collected using sweep netting over vegetation and by shaking vegetation over a white tray within a suitable habitat. No traps were used. Following collection, specimens were handled individually to minimise the risk of cross-contamination. Live spiderlings were placed into individual collection tubes and transported to the laboratory after collection was complete. Upon arrival, samples were transferred immediately to a −80 °C freezer for long-term preservation prior to molecular analysis. The interval between field collection, preservation, and laboratory processing was minimised to maintain DNA integrity.</w:t>
      </w:r>
    </w:p>
    <w:p w14:paraId="3251D042" w14:textId="1842A27C" w:rsidR="00486085" w:rsidRDefault="00486085" w:rsidP="00486085">
      <w:pPr>
        <w:pStyle w:val="Heading2"/>
      </w:pPr>
      <w:bookmarkStart w:id="3" w:name="_Toc225146206"/>
      <w:r>
        <w:lastRenderedPageBreak/>
        <w:t>DNA extraction methods</w:t>
      </w:r>
      <w:bookmarkEnd w:id="3"/>
    </w:p>
    <w:p w14:paraId="12930661" w14:textId="23974CE2" w:rsidR="00232597" w:rsidRDefault="00232597" w:rsidP="00232597">
      <w:r>
        <w:t>Genomic DNA was extracted using the Qiagen DNeasy Blood and Tissue Kit following the manufacturer’s Animal Tissue Spin-Column protocol, with modifications optimised for small arachnid specimens. Due to the small body size and chitinous exoskeleton of the spiderlings, individuals were gently crushed prior to lysis to improve tissue disruption. The lysis stage was extended overnight (16–18 hours) at 56 °C to ensure complete tissue digestion. Prior to elution, the elution buffer was incubated directly on the spin-column membrane for five minutes at 55 °C, a modification that consistently improved DNA recovery.</w:t>
      </w:r>
    </w:p>
    <w:p w14:paraId="184EB19D" w14:textId="5FE63DA3" w:rsidR="00232597" w:rsidRDefault="00232597" w:rsidP="00232597">
      <w:r>
        <w:t>DNA concentration and purity were assessed using a Nanophotometer spectrophotometer. Approximately 10% of samples were quantified to confirm successful DNA extraction and to assess yield consistency across extraction batches. Measured DNA concentrations ranged from 6.8 to 61.8 ng µL</w:t>
      </w:r>
      <w:r>
        <w:rPr>
          <w:rFonts w:ascii="Cambria Math" w:hAnsi="Cambria Math" w:cs="Cambria Math"/>
        </w:rPr>
        <w:t>⁻</w:t>
      </w:r>
      <w:r>
        <w:rPr>
          <w:rFonts w:cs="Arial"/>
        </w:rPr>
        <w:t>¹</w:t>
      </w:r>
      <w:r>
        <w:t xml:space="preserve"> (mean 21.2 ng </w:t>
      </w:r>
      <w:r>
        <w:rPr>
          <w:rFonts w:cs="Arial"/>
        </w:rPr>
        <w:t>µ</w:t>
      </w:r>
      <w:r>
        <w:t>L</w:t>
      </w:r>
      <w:r>
        <w:rPr>
          <w:rFonts w:ascii="Cambria Math" w:hAnsi="Cambria Math" w:cs="Cambria Math"/>
        </w:rPr>
        <w:t>⁻</w:t>
      </w:r>
      <w:r>
        <w:rPr>
          <w:rFonts w:cs="Arial"/>
        </w:rPr>
        <w:t>¹</w:t>
      </w:r>
      <w:r>
        <w:t>), providing sufficient template DNA for downstream molecular analyses, with no indication of widespread degradation.</w:t>
      </w:r>
    </w:p>
    <w:p w14:paraId="0CB64E60" w14:textId="2A539E45" w:rsidR="00486085" w:rsidRDefault="00232597" w:rsidP="00232597">
      <w:r>
        <w:t>Strict contamination-control procedures were implemented throughout the extraction process. Samples were processed individually using sterile consumables and aerosol-resistant filter tips, and pre-PCR and post-PCR workflows were physically separated. Extraction blank controls were included with each extraction batch to monitor laboratory contamination.</w:t>
      </w:r>
    </w:p>
    <w:p w14:paraId="40782D24" w14:textId="3B78F2B0" w:rsidR="00486085" w:rsidRDefault="00486085" w:rsidP="00486085">
      <w:pPr>
        <w:pStyle w:val="Heading2"/>
      </w:pPr>
      <w:bookmarkStart w:id="4" w:name="_Toc225146207"/>
      <w:r>
        <w:t>PCR amplification</w:t>
      </w:r>
      <w:bookmarkEnd w:id="4"/>
      <w:r>
        <w:t xml:space="preserve"> </w:t>
      </w:r>
    </w:p>
    <w:p w14:paraId="11B5040E" w14:textId="22A2F13E" w:rsidR="005B0EC9" w:rsidRDefault="005B0EC9" w:rsidP="005B0EC9">
      <w:r>
        <w:t>Two genetic loci were amplified to assess genetic diversity and structure: the mitochondrial cytochrome c oxidase subunit I (COI) gene and the nuclear Histone H3 (H3) gene.</w:t>
      </w:r>
    </w:p>
    <w:p w14:paraId="2C9EBACA" w14:textId="3FD4300E" w:rsidR="005B0EC9" w:rsidRDefault="005B0EC9" w:rsidP="005B0EC9">
      <w:r>
        <w:t xml:space="preserve">Polymerase chain reactions (PCRs) were performed in 30 µL reaction volumes using 2× </w:t>
      </w:r>
      <w:proofErr w:type="spellStart"/>
      <w:r>
        <w:t>BioMix</w:t>
      </w:r>
      <w:proofErr w:type="spellEnd"/>
      <w:r>
        <w:t xml:space="preserve"> Red PCR Master Mix (</w:t>
      </w:r>
      <w:proofErr w:type="spellStart"/>
      <w:r>
        <w:t>Bioline</w:t>
      </w:r>
      <w:proofErr w:type="spellEnd"/>
      <w:r>
        <w:t xml:space="preserve">). Each reaction contained 15 µL </w:t>
      </w:r>
      <w:proofErr w:type="spellStart"/>
      <w:r>
        <w:t>BioMix</w:t>
      </w:r>
      <w:proofErr w:type="spellEnd"/>
      <w:r>
        <w:t xml:space="preserve"> Red master mix, 1.0 µL of each primer (10 µM), 1.0 µL of template DNA, and nuclease-free water to a final volume of 30 µL. Following optimisation, each sample was amplified in a single reaction per locus.</w:t>
      </w:r>
    </w:p>
    <w:p w14:paraId="5EECA223" w14:textId="3C7FF01E" w:rsidR="005B0EC9" w:rsidRDefault="005B0EC9" w:rsidP="005B0EC9">
      <w:r>
        <w:t xml:space="preserve">COI amplification employed the primers LCO1490 (forward) (5′GGTCAACAAATCATAAAGATATTGG-3′) and HCO2198 (reverse) (5′TAAACTTCAGGGTGACCAAAAAATCA-3′) </w:t>
      </w:r>
      <w:r>
        <w:fldChar w:fldCharType="begin"/>
      </w:r>
      <w:r>
        <w:instrText xml:space="preserve"> ADDIN ZOTERO_ITEM CSL_CITATION {"citationID":"IJvHhCNb","properties":{"formattedCitation":"(Folmer et al., 1994)","plainCitation":"(Folmer et al., 1994)","noteIndex":0},"citationItems":[{"id":1373,"uris":["http://zotero.org/users/12168070/items/57S8IBCS"],"itemData":{"id":1373,"type":"article-journal","abstract":"We describe \"universal\" DNA primers for polymerase chain reaction (PCR) amplification of a 710-bp fragment of the mitochondrial cytochrome c oxidase  subunit I gene (COI) from 11 invertebrate phyla: Echinodermata, Mollusca,  Annelida, Pogonophora, Arthropoda, Nemertinea, Echiura, Sipuncula,  Platyhelminthes, Tardigrada, and Coelenterata, as well as the putative phylum  Vestimentifera. Preliminary comparisons revealed that these COI primers generate  informative sequences for phylogenetic analyses at the species and higher  taxonomic levels.","container-title":"Molecular marine biology and biotechnology","ISSN":"1053-6426","issue":"5","journalAbbreviation":"Mol Mar Biol Biotechnol","language":"eng","page":"294-299","PMID":"7881515","publisher-place":"United States","title":"DNA primers for amplification of mitochondrial cytochrome c oxidase subunit I from diverse metazoan invertebrates.","volume":"3","author":[{"family":"Folmer","given":"O."},{"family":"Black","given":"M."},{"family":"Hoeh","given":"W."},{"family":"Lutz","given":"R."},{"family":"Vrijenhoek","given":"R."}],"issued":{"date-parts":[["1994",10]]}}}],"schema":"https://github.com/citation-style-language/schema/raw/master/csl-citation.json"} </w:instrText>
      </w:r>
      <w:r>
        <w:fldChar w:fldCharType="separate"/>
      </w:r>
      <w:r>
        <w:rPr>
          <w:rFonts w:cs="Arial"/>
        </w:rPr>
        <w:t>(Folmer et al., 1994)</w:t>
      </w:r>
      <w:r>
        <w:fldChar w:fldCharType="end"/>
      </w:r>
      <w:r>
        <w:t xml:space="preserve">. Thermal cycling consisted of an initial denaturation at 95 °C for three minutes, followed by 35 cycles of denaturation at 95 °C for 30 seconds, annealing at 47 °C for 45 seconds, and extension at 72 °C for one minute, with a final extension step of five minutes at 72 </w:t>
      </w:r>
      <w:r>
        <w:lastRenderedPageBreak/>
        <w:t>°C. The annealing temperature of 47 °C was selected following optimisation to maximise amplification consistency across samples.</w:t>
      </w:r>
    </w:p>
    <w:p w14:paraId="3981C512" w14:textId="685DF06D" w:rsidR="005B0EC9" w:rsidRDefault="005B0EC9" w:rsidP="005B0EC9">
      <w:r>
        <w:t xml:space="preserve">Amplification of the H3 locus used primers H3aF (forward) (5′ATGGCTCGTACCAAGCAGACVGC-3′) and H3aR (reverse) (5′ATATCCTTRGGCATRATRGTGAC-3′) </w:t>
      </w:r>
      <w:r>
        <w:fldChar w:fldCharType="begin"/>
      </w:r>
      <w:r>
        <w:instrText xml:space="preserve"> ADDIN ZOTERO_ITEM CSL_CITATION {"citationID":"0YqluoIV","properties":{"formattedCitation":"(Colgan et al., 1999)","plainCitation":"(Colgan et al., 1999)","noteIndex":0},"citationItems":[{"id":1369,"uris":["http://zotero.org/users/12168070/items/32FQDT3Y"],"itemData":{"id":1369,"type":"article-journal","container-title":"Australian Journal of Zoology","DOI":"10.1071/ZO98048","journalAbbreviation":"Australian Journal of Zoology","page":"419-437","title":"Histone H3 and U2 snRNA DNA sequences and arthropod molecular evolution","volume":"46","author":[{"family":"Colgan","given":"David"},{"family":"McLauchlan","given":"A."},{"family":"Wilson","given":"George"},{"family":"Livingston","given":"S."},{"family":"Edgecombe","given":"Gregory"},{"family":"Macaranas","given":"J."},{"family":"Cassis","given":"Gerasimos"},{"family":"Gray","given":"M."}],"issued":{"date-parts":[["1999",2,26]]}}}],"schema":"https://github.com/citation-style-language/schema/raw/master/csl-citation.json"} </w:instrText>
      </w:r>
      <w:r>
        <w:fldChar w:fldCharType="separate"/>
      </w:r>
      <w:r>
        <w:rPr>
          <w:rFonts w:cs="Arial"/>
        </w:rPr>
        <w:t>(Colgan et al., 1999)</w:t>
      </w:r>
      <w:r>
        <w:fldChar w:fldCharType="end"/>
      </w:r>
      <w:r>
        <w:t>. Cycling conditions consisted of an initial denaturation at 95 °C for three minutes, followed by 35 cycles of 95 °C for 30 seconds, 51 °C for 30 seconds, and 72 °C for 45 seconds, with a final extension step of five minutes at 72 °C and a hold at 4 °C.</w:t>
      </w:r>
    </w:p>
    <w:p w14:paraId="3A1D6AD0" w14:textId="427209E6" w:rsidR="00486085" w:rsidRDefault="005B0EC9" w:rsidP="005B0EC9">
      <w:r>
        <w:t>PCR success was verified by electrophoresis on 1.5% agarose gels. Amplified products consistently produced single bands of the expected size, confirmed against a 100 bp DNA ladder run alongside samples, approximately 650 base pairs for COI and 330 base pairs for H3. Positive control reactions amplified as expected, while negative controls included in each amplification run showed no amplification, confirming successful contamination control.</w:t>
      </w:r>
    </w:p>
    <w:p w14:paraId="244E52EB" w14:textId="4D6A1960" w:rsidR="00C81122" w:rsidRDefault="00C81122" w:rsidP="00C81122">
      <w:pPr>
        <w:pStyle w:val="Heading2"/>
      </w:pPr>
      <w:bookmarkStart w:id="5" w:name="_Toc225146208"/>
      <w:r>
        <w:t>Sequencing</w:t>
      </w:r>
      <w:bookmarkEnd w:id="5"/>
    </w:p>
    <w:p w14:paraId="208DA6C6" w14:textId="2EA37CAC" w:rsidR="00D349EF" w:rsidRDefault="00D349EF" w:rsidP="00D349EF">
      <w:r>
        <w:t>PCR products demonstrating successful amplification were prepared for sequencing after visual verification of single bands on an agarose gel. Amplified products were quantified using a Nanophotometer spectrophotometer to confirm suitability for sequencing submission. PCR product concentrations ranged from approximately 605 to 647 ng µL</w:t>
      </w:r>
      <w:r>
        <w:rPr>
          <w:rFonts w:ascii="Cambria Math" w:hAnsi="Cambria Math" w:cs="Cambria Math"/>
        </w:rPr>
        <w:t>⁻</w:t>
      </w:r>
      <w:r>
        <w:rPr>
          <w:rFonts w:cs="Arial"/>
        </w:rPr>
        <w:t>¹</w:t>
      </w:r>
      <w:r>
        <w:t>. As the sequencing facility required DNA concentrations of 20</w:t>
      </w:r>
      <w:r>
        <w:rPr>
          <w:rFonts w:cs="Arial"/>
        </w:rPr>
        <w:t>–</w:t>
      </w:r>
      <w:r>
        <w:t xml:space="preserve">25 ng </w:t>
      </w:r>
      <w:r>
        <w:rPr>
          <w:rFonts w:cs="Arial"/>
        </w:rPr>
        <w:t>µ</w:t>
      </w:r>
      <w:r>
        <w:t>L</w:t>
      </w:r>
      <w:r>
        <w:rPr>
          <w:rFonts w:ascii="Cambria Math" w:hAnsi="Cambria Math" w:cs="Cambria Math"/>
        </w:rPr>
        <w:t>⁻</w:t>
      </w:r>
      <w:r>
        <w:rPr>
          <w:rFonts w:cs="Arial"/>
        </w:rPr>
        <w:t>¹</w:t>
      </w:r>
      <w:r>
        <w:t xml:space="preserve">, samples were diluted prior to submission by combining 1 </w:t>
      </w:r>
      <w:r>
        <w:rPr>
          <w:rFonts w:cs="Arial"/>
        </w:rPr>
        <w:t>µ</w:t>
      </w:r>
      <w:r>
        <w:t>L PCR product with 24 µL nuclease-free water to achieve the required loading concentration.</w:t>
      </w:r>
    </w:p>
    <w:p w14:paraId="404F013B" w14:textId="261F1EFE" w:rsidR="00D349EF" w:rsidRDefault="00D349EF" w:rsidP="00D349EF">
      <w:r>
        <w:t xml:space="preserve">Samples were arranged on plates and submitted to Macrogen for Sanger sequencing using locus-specific forward primers (LCO1490 for COI and H3aF for H3). Cycle sequencing reactions, fluorescent dye chemistry, and capillary electrophoresis were performed by the sequencing provider using standard </w:t>
      </w:r>
      <w:proofErr w:type="spellStart"/>
      <w:r>
        <w:t>BigDye</w:t>
      </w:r>
      <w:proofErr w:type="spellEnd"/>
      <w:r>
        <w:t xml:space="preserve"> Terminator chemistry on an automated capillary sequencing platform (Applied Biosystems DNA Analyser or equivalent).</w:t>
      </w:r>
    </w:p>
    <w:p w14:paraId="38E6FD6A" w14:textId="0F99AA65" w:rsidR="00D349EF" w:rsidRDefault="00D349EF" w:rsidP="00D349EF">
      <w:r>
        <w:t>Forward-only sequencing was performed for most samples to ensure methodological consistency across all individuals included in the population genetic dataset. To assess sequence accuracy and confirm the reliability of forward reads, approximately 10% of samples for each marker were additionally sequenced in both directions. Bidirectional sequencing produced concordant base calls after alignment and trimming, validating that forward reads alone were sufficient for downstream analyses.</w:t>
      </w:r>
    </w:p>
    <w:p w14:paraId="71DD511F" w14:textId="20F0DDDD" w:rsidR="00D349EF" w:rsidRPr="00D349EF" w:rsidRDefault="00D349EF" w:rsidP="00D349EF">
      <w:r>
        <w:lastRenderedPageBreak/>
        <w:t xml:space="preserve">For Sanger sequencing, each successfully amplified sample yielded a single sequence read per locus, achieving the intended sequencing depth for all submitted samples. </w:t>
      </w:r>
      <w:r w:rsidR="003C2236">
        <w:t>Of 60 initially sequenced individuals, 49 high-quality COI sequences and 59 H3 sequences were retained following quality control, while maintaining representation across all sampled sites.</w:t>
      </w:r>
    </w:p>
    <w:p w14:paraId="6FE1FB38" w14:textId="739D6843" w:rsidR="00486085" w:rsidRDefault="008E36B2" w:rsidP="00220639">
      <w:pPr>
        <w:pStyle w:val="Heading2"/>
      </w:pPr>
      <w:bookmarkStart w:id="6" w:name="_Toc225146209"/>
      <w:r>
        <w:t>Bioinformatic and statistical processing</w:t>
      </w:r>
      <w:bookmarkEnd w:id="6"/>
      <w:r>
        <w:t xml:space="preserve"> </w:t>
      </w:r>
    </w:p>
    <w:p w14:paraId="6F2FC158" w14:textId="6F797187" w:rsidR="00A04162" w:rsidRDefault="00A04162" w:rsidP="00A04162">
      <w:r>
        <w:t xml:space="preserve">Raw chromatogram files were manually inspected to assess sequence quality and to remove low-quality base calls from sequence termini. High-quality sequences were exported in FASTA format and aligned in MEGA (version 11; Tamura et al., 2021). Coding regions were verified by translation into amino acid sequences to confirm the correct reading frame and identify potential sequencing artefacts. Sequences showing persistent ambiguous base calls, poor chromatogram quality, or translation inconsistencies were excluded from downstream analyses. </w:t>
      </w:r>
    </w:p>
    <w:p w14:paraId="6070C83C" w14:textId="6A90D411" w:rsidR="00A04162" w:rsidRDefault="00A04162" w:rsidP="00A04162">
      <w:r>
        <w:t xml:space="preserve">Genetic diversity and structure were assessed using established population genetic approaches. Haplotype identification, numbers of segregating sites, haplotype diversity, and nucleotide diversity were calculated from aligned sequence datasets. Haplotype networks were constructed to visualise genealogical relationships among individuals and populations, and geographic population coordinates were incorporated into downstream analyses to examine spatial genetic structure and patterns of differentiation. Analyses were conducted using MEGA and R statistical software, with all population genetic analyses conducted in R (v4.5.2) </w:t>
      </w:r>
      <w:r>
        <w:fldChar w:fldCharType="begin"/>
      </w:r>
      <w:r>
        <w:instrText xml:space="preserve"> ADDIN ZOTERO_ITEM CSL_CITATION {"citationID":"Yf6pwnSO","properties":{"formattedCitation":"(R Core Team, 2025)","plainCitation":"(R Core Team, 2025)","noteIndex":0},"citationItems":[{"id":1339,"uris":["http://zotero.org/users/12168070/items/XGHSYY72"],"itemData":{"id":1339,"type":"book","publisher":"R Foundation for Statistical Computing","publisher-place":"Vienna, Austria","title":"R: A Language and Environment for Statistical Computing","URL":"https://www.R-project.org/","author":[{"literal":"R Core Team"}],"issued":{"date-parts":[["2025"]]}}}],"schema":"https://github.com/citation-style-language/schema/raw/master/csl-citation.json"} </w:instrText>
      </w:r>
      <w:r>
        <w:fldChar w:fldCharType="separate"/>
      </w:r>
      <w:r>
        <w:rPr>
          <w:rFonts w:cs="Arial"/>
        </w:rPr>
        <w:t>(R Core Team, 2025)</w:t>
      </w:r>
      <w:r>
        <w:fldChar w:fldCharType="end"/>
      </w:r>
      <w:r>
        <w:t xml:space="preserve">. Aligned COI and H3 sequences were imported using the ape package v5.8.1 </w:t>
      </w:r>
      <w:r>
        <w:fldChar w:fldCharType="begin"/>
      </w:r>
      <w:r>
        <w:instrText xml:space="preserve"> ADDIN ZOTERO_ITEM CSL_CITATION {"citationID":"yOS7B8QO","properties":{"formattedCitation":"(Paradis &amp; Schliep, 2019)","plainCitation":"(Paradis &amp; Schliep, 2019)","noteIndex":0},"citationItems":[{"id":1340,"uris":["http://zotero.org/users/12168070/items/XFBLMQB4"],"itemData":{"id":1340,"type":"article-journal","container-title":"Bioinformatics","DOI":"10.1093/bioinformatics/bty633","page":"526–528","title":"ape 5.0: an environment for modern phylogenetics and evolutionary analyses in R","volume":"35","author":[{"family":"Paradis","given":"Emmanuel"},{"family":"Schliep","given":"Klaus"}],"issued":{"date-parts":[["2019"]]}}}],"schema":"https://github.com/citation-style-language/schema/raw/master/csl-citation.json"} </w:instrText>
      </w:r>
      <w:r>
        <w:fldChar w:fldCharType="separate"/>
      </w:r>
      <w:r>
        <w:rPr>
          <w:rFonts w:cs="Arial"/>
        </w:rPr>
        <w:t>(Paradis &amp; Schliep, 2019)</w:t>
      </w:r>
      <w:r>
        <w:fldChar w:fldCharType="end"/>
      </w:r>
      <w:r>
        <w:t xml:space="preserve"> and population assignments were defined a priori by sampling locality. Throughout the analytical procedures, sampling sites were treated as separate population units to enable formal testing of genetic structure among locations. At the time of sampling, these sites were not considered confirmed independent biological populations; rather, several represented outlying records whose population status was uncertain. Population-level analyses were therefore used explicitly to evaluate whether the sampled sites constitute a single continuous population or genetically differentiated units. Genetic diversity was characterised per population using haplotype diversity (</w:t>
      </w:r>
      <w:proofErr w:type="spellStart"/>
      <w:r>
        <w:t>Hd</w:t>
      </w:r>
      <w:proofErr w:type="spellEnd"/>
      <w:r>
        <w:t xml:space="preserve">) and nucleotide diversity (π) calculated using </w:t>
      </w:r>
      <w:proofErr w:type="spellStart"/>
      <w:r>
        <w:t>pegas</w:t>
      </w:r>
      <w:proofErr w:type="spellEnd"/>
      <w:r>
        <w:t xml:space="preserve"> v1.4 </w:t>
      </w:r>
      <w:r>
        <w:fldChar w:fldCharType="begin"/>
      </w:r>
      <w:r>
        <w:instrText xml:space="preserve"> ADDIN ZOTERO_ITEM CSL_CITATION {"citationID":"D2N1WC1s","properties":{"formattedCitation":"(Paradis, 2010)","plainCitation":"(Paradis, 2010)","noteIndex":0},"citationItems":[{"id":1341,"uris":["http://zotero.org/users/12168070/items/58FER7I6"],"itemData":{"id":1341,"type":"article-journal","container-title":"Bioinformatics","DOI":"10.1093/bioinformatics/btp696","page":"419–420","title":"pegas: an R package for population genetics with an integrated–modular approach","volume":"26","author":[{"family":"Paradis","given":"Emmanuel"}],"issued":{"date-parts":[["2010"]]}}}],"schema":"https://github.com/citation-style-language/schema/raw/master/csl-citation.json"} </w:instrText>
      </w:r>
      <w:r>
        <w:fldChar w:fldCharType="separate"/>
      </w:r>
      <w:r>
        <w:rPr>
          <w:rFonts w:cs="Arial"/>
        </w:rPr>
        <w:t>(Paradis, 2010)</w:t>
      </w:r>
      <w:r>
        <w:fldChar w:fldCharType="end"/>
      </w:r>
      <w:r>
        <w:t xml:space="preserve">. Haplotype networks were constructed using a minimum spanning algorithm implemented using </w:t>
      </w:r>
      <w:proofErr w:type="spellStart"/>
      <w:r>
        <w:t>pegas</w:t>
      </w:r>
      <w:proofErr w:type="spellEnd"/>
      <w:r>
        <w:t xml:space="preserve">, with haplotype frequencies visualised as population-coloured pie charts scaled by the square root of haplotype frequency. Pairwise genetic differentiation was estimated using Weir &amp; Cockerham’s </w:t>
      </w:r>
      <w:r>
        <w:fldChar w:fldCharType="begin"/>
      </w:r>
      <w:r>
        <w:instrText xml:space="preserve"> ADDIN ZOTERO_ITEM CSL_CITATION {"citationID":"useOPMeu","properties":{"formattedCitation":"(Weir &amp; Cockerham, 1984)","plainCitation":"(Weir &amp; Cockerham, 1984)","dontUpdate":true,"noteIndex":0},"citationItems":[{"id":1362,"uris":["http://zotero.org/users/12168070/items/KUPCPHFU"],"itemData":{"id":1362,"type":"article-journal","container-title":"Evolution","DOI":"10.2307/2408641","issue":"6","page":"1358–1370","title":"Estimating F-statistics for the analysis of population structure","volume":"38","author":[{"family":"Weir","given":"B. S."},{"family":"Cockerham","given":"C. Clark"}],"issued":{"date-parts":[["1984"]]}}}],"schema":"https://github.com/citation-style-language/schema/raw/master/csl-citation.json"} </w:instrText>
      </w:r>
      <w:r>
        <w:fldChar w:fldCharType="separate"/>
      </w:r>
      <w:r>
        <w:rPr>
          <w:rFonts w:cs="Arial"/>
        </w:rPr>
        <w:t>(1984)</w:t>
      </w:r>
      <w:r>
        <w:fldChar w:fldCharType="end"/>
      </w:r>
      <w:r>
        <w:t xml:space="preserve"> F_ST estimator, as implemented in </w:t>
      </w:r>
      <w:proofErr w:type="spellStart"/>
      <w:r>
        <w:t>hierfstat</w:t>
      </w:r>
      <w:proofErr w:type="spellEnd"/>
      <w:r>
        <w:t xml:space="preserve"> v0.5.11 </w:t>
      </w:r>
      <w:r>
        <w:fldChar w:fldCharType="begin"/>
      </w:r>
      <w:r>
        <w:instrText xml:space="preserve"> ADDIN ZOTERO_ITEM CSL_CITATION {"citationID":"3QymJSan","properties":{"formattedCitation":"(Goudet &amp; Jombart, 2022)","plainCitation":"(Goudet &amp; Jombart, 2022)","noteIndex":0},"citationItems":[{"id":1346,"uris":["http://zotero.org/users/12168070/items/AP3R3UBN"],"itemData":{"id":1346,"type":"book","DOI":"10.32614/CRAN.package.hierfstat","title":"hierfstat: Estimation and Tests of Hierarchical F-Statistics","URL":"https://CRAN.R-project.org/package=hierfstat","author":[{"family":"Goudet","given":"Jerome"},{"family":"Jombart","given":"Thibaut"}],"issued":{"date-parts":[["2022"]]}}}],"schema":"https://github.com/citation-style-language/schema/raw/master/csl-citation.json"} </w:instrText>
      </w:r>
      <w:r>
        <w:fldChar w:fldCharType="separate"/>
      </w:r>
      <w:r>
        <w:rPr>
          <w:rFonts w:cs="Arial"/>
        </w:rPr>
        <w:t>(Goudet &amp; Jombart, 2022)</w:t>
      </w:r>
      <w:r>
        <w:fldChar w:fldCharType="end"/>
      </w:r>
      <w:r>
        <w:t xml:space="preserve">, after converting </w:t>
      </w:r>
      <w:proofErr w:type="spellStart"/>
      <w:r>
        <w:t>DNAbin</w:t>
      </w:r>
      <w:proofErr w:type="spellEnd"/>
      <w:r>
        <w:t xml:space="preserve"> objects to the </w:t>
      </w:r>
      <w:proofErr w:type="spellStart"/>
      <w:r>
        <w:t>genind</w:t>
      </w:r>
      <w:proofErr w:type="spellEnd"/>
      <w:r>
        <w:t xml:space="preserve"> format using </w:t>
      </w:r>
      <w:proofErr w:type="spellStart"/>
      <w:r>
        <w:t>adegenet</w:t>
      </w:r>
      <w:proofErr w:type="spellEnd"/>
      <w:r>
        <w:t xml:space="preserve"> v2.1.11 </w:t>
      </w:r>
      <w:r>
        <w:fldChar w:fldCharType="begin"/>
      </w:r>
      <w:r>
        <w:instrText xml:space="preserve"> ADDIN ZOTERO_ITEM CSL_CITATION {"citationID":"hw6Hm9OJ","properties":{"formattedCitation":"(Jombart, 2008)","plainCitation":"(Jombart, 2008)","noteIndex":0},"citationItems":[{"id":1342,"uris":["http://zotero.org/users/12168070/items/ZGJICW67"],"itemData":{"id":1342,"type":"article-journal","container-title":"Bioinformatics","DOI":"10.1093/bioinformatics/btn129","page":"1403–1405","title":"adegenet: a R package for the multivariate analysis of genetic markers","volume":"24","author":[{"family":"Jombart","given":"T."}],"issued":{"date-parts":[["2008"]]}}}],"schema":"https://github.com/citation-style-language/schema/raw/master/csl-citation.json"} </w:instrText>
      </w:r>
      <w:r>
        <w:fldChar w:fldCharType="separate"/>
      </w:r>
      <w:r>
        <w:rPr>
          <w:rFonts w:cs="Arial"/>
        </w:rPr>
        <w:t>(Jombart, 2008)</w:t>
      </w:r>
      <w:r>
        <w:fldChar w:fldCharType="end"/>
      </w:r>
      <w:r>
        <w:t>.</w:t>
      </w:r>
    </w:p>
    <w:p w14:paraId="6FB76E8F" w14:textId="6503CF6C" w:rsidR="008E36B2" w:rsidRDefault="00A04162" w:rsidP="00A04162">
      <w:r>
        <w:lastRenderedPageBreak/>
        <w:t xml:space="preserve">Analysis of molecular variance (AMOVA; </w:t>
      </w:r>
      <w:r>
        <w:fldChar w:fldCharType="begin"/>
      </w:r>
      <w:r>
        <w:instrText xml:space="preserve"> ADDIN ZOTERO_ITEM CSL_CITATION {"citationID":"v46yn8tR","properties":{"formattedCitation":"(Excoffier et al., 1992)","plainCitation":"(Excoffier et al., 1992)","dontUpdate":true,"noteIndex":0},"citationItems":[{"id":1363,"uris":["http://zotero.org/users/12168070/items/7CKKHHKA"],"itemData":{"id":1363,"type":"article-journal","container-title":"Genetics","DOI":"10.1093/genetics/131.2.479","issue":"2","page":"479–491","title":"Analysis of molecular variance inferred from metric distances among DNA haplotypes: application to human mitochondrial DNA restriction data","volume":"131","author":[{"family":"Excoffier","given":"Laurent"},{"family":"Smouse","given":"Peter E."},{"family":"Quattro","given":"Joseph M."}],"issued":{"date-parts":[["1992"]]}}}],"schema":"https://github.com/citation-style-language/schema/raw/master/csl-citation.json"} </w:instrText>
      </w:r>
      <w:r>
        <w:fldChar w:fldCharType="separate"/>
      </w:r>
      <w:r>
        <w:rPr>
          <w:rFonts w:cs="Arial"/>
        </w:rPr>
        <w:t>Excoffier et al., 1992</w:t>
      </w:r>
      <w:r>
        <w:fldChar w:fldCharType="end"/>
      </w:r>
      <w:r>
        <w:t xml:space="preserve">) was conducted using </w:t>
      </w:r>
      <w:proofErr w:type="spellStart"/>
      <w:r>
        <w:t>pegas</w:t>
      </w:r>
      <w:proofErr w:type="spellEnd"/>
      <w:r>
        <w:t xml:space="preserve"> v1.4, with pairwise genetic distances calculated under the Kimura two-parameter model (K80) and significance assessed using 999 permutations. Discriminant analysis of principal components (DAPC) was carried out using </w:t>
      </w:r>
      <w:proofErr w:type="spellStart"/>
      <w:r>
        <w:t>adegenet</w:t>
      </w:r>
      <w:proofErr w:type="spellEnd"/>
      <w:r>
        <w:t xml:space="preserve"> v2.1.11; the optimal number of principal components to retain was selected by cross-validation using </w:t>
      </w:r>
      <w:proofErr w:type="spellStart"/>
      <w:r>
        <w:t>xvalDapc</w:t>
      </w:r>
      <w:proofErr w:type="spellEnd"/>
      <w:r>
        <w:t xml:space="preserve"> with 30 replicates and a 90% training set. Isolation by distance was tested using a Mantel test (999 permutations) in vegan v2.7.2 </w:t>
      </w:r>
      <w:r>
        <w:fldChar w:fldCharType="begin"/>
      </w:r>
      <w:r>
        <w:instrText xml:space="preserve"> ADDIN ZOTERO_ITEM CSL_CITATION {"citationID":"4EnMrRsO","properties":{"formattedCitation":"(Oksanen et al., 2025)","plainCitation":"(Oksanen et al., 2025)","noteIndex":0},"citationItems":[{"id":1348,"uris":["http://zotero.org/users/12168070/items/Q9KJZCK6"],"itemData":{"id":1348,"type":"book","DOI":"10.32614/CRAN.package.vegan","title":"vegan: Community Ecology Package","URL":"https://CRAN.R-project.org/package=vegan","author":[{"family":"Oksanen","given":"Jari"},{"family":"Simpson","given":"Gavin L."},{"family":"Blanchet","given":"F. Guillaume"},{"family":"Kindt","given":"Roeland"},{"family":"Legendre","given":"Pierre"},{"family":"Minchin","given":"Peter R."},{"family":"O'Hara","given":"R. B."},{"family":"Solymos","given":"Peter"},{"family":"Stevens","given":"M. Henry H."},{"family":"Szoecs","given":"Eduard"},{"family":"Wagner","given":"Helene"},{"family":"Barbour","given":"Matt"},{"family":"Bedward","given":"Michael"},{"family":"Bolker","given":"Ben"},{"family":"Borcard","given":"Daniel"},{"family":"Borman","given":"Tuomas"},{"family":"Carvalho","given":"Gustavo"},{"family":"Chirico","given":"Michael"},{"family":"Caceres","given":"Miquel De"},{"family":"Durand","given":"Sebastien"},{"family":"Evangelista","given":"Heloisa Beatriz Antoniazi"},{"family":"FitzJohn","given":"Rich"},{"family":"Friendly","given":"Michael"},{"family":"Furneaux","given":"Brendan"},{"family":"Hannigan","given":"Geoffrey"},{"family":"Hill","given":"Mark O."},{"family":"Lahti","given":"Leo"},{"family":"Martino","given":"Cameron"},{"family":"McGlinn","given":"Dan"},{"family":"Ouellette","given":"Marie-Helene"},{"family":"Cunha","given":"Eduardo Ribeiro"},{"family":"Smith","given":"Tyler"},{"family":"Stier","given":"Adrian"},{"family":"Braak","given":"Cajo J. F. Ter"},{"family":"Weedon","given":"James"}],"issued":{"date-parts":[["2025"]]}}}],"schema":"https://github.com/citation-style-language/schema/raw/master/csl-citation.json"} </w:instrText>
      </w:r>
      <w:r>
        <w:fldChar w:fldCharType="separate"/>
      </w:r>
      <w:r>
        <w:rPr>
          <w:rFonts w:cs="Arial"/>
        </w:rPr>
        <w:t>(Oksanen et al., 2025)</w:t>
      </w:r>
      <w:r>
        <w:fldChar w:fldCharType="end"/>
      </w:r>
      <w:r>
        <w:t xml:space="preserve">, with genetic differentiation linearised as F_ST/(1 − F_ST) following Rousset </w:t>
      </w:r>
      <w:r>
        <w:fldChar w:fldCharType="begin"/>
      </w:r>
      <w:r>
        <w:instrText xml:space="preserve"> ADDIN ZOTERO_ITEM CSL_CITATION {"citationID":"2Q7q02yW","properties":{"formattedCitation":"(Rousset, 1997)","plainCitation":"(Rousset, 1997)","dontUpdate":true,"noteIndex":0},"citationItems":[{"id":1365,"uris":["http://zotero.org/users/12168070/items/KK3XZD7Y"],"itemData":{"id":1365,"type":"article-journal","container-title":"Genetics","DOI":"10.1093/genetics/145.4.1219","issue":"4","page":"1219–1228","title":"Genetic differentiation and estimation of gene flow from F-statistics under isolation by distance","volume":"145","author":[{"family":"Rousset","given":"François"}],"issued":{"date-parts":[["1997"]]}}}],"schema":"https://github.com/citation-style-language/schema/raw/master/csl-citation.json"} </w:instrText>
      </w:r>
      <w:r>
        <w:fldChar w:fldCharType="separate"/>
      </w:r>
      <w:r>
        <w:rPr>
          <w:rFonts w:cs="Arial"/>
        </w:rPr>
        <w:t>(1997)</w:t>
      </w:r>
      <w:r>
        <w:fldChar w:fldCharType="end"/>
      </w:r>
      <w:r>
        <w:t xml:space="preserve"> and geographic distances calculated as Haversine distances using geosphere v1.5.20 </w:t>
      </w:r>
      <w:r>
        <w:fldChar w:fldCharType="begin"/>
      </w:r>
      <w:r>
        <w:instrText xml:space="preserve"> ADDIN ZOTERO_ITEM CSL_CITATION {"citationID":"K7oCaaKQ","properties":{"formattedCitation":"(Hijmans, 2024)","plainCitation":"(Hijmans, 2024)","noteIndex":0},"citationItems":[{"id":1350,"uris":["http://zotero.org/users/12168070/items/W93GTR4J"],"itemData":{"id":1350,"type":"book","DOI":"10.32614/CRAN.package.geosphere","title":"geosphere: Spherical Trigonometry","URL":"https://CRAN.R-project.org/package=geosphere","author":[{"family":"Hijmans","given":"Robert J."}],"issued":{"date-parts":[["2024"]]}}}],"schema":"https://github.com/citation-style-language/schema/raw/master/csl-citation.json"} </w:instrText>
      </w:r>
      <w:r>
        <w:fldChar w:fldCharType="separate"/>
      </w:r>
      <w:r>
        <w:rPr>
          <w:rFonts w:cs="Arial"/>
        </w:rPr>
        <w:t>(Hijmans, 2024)</w:t>
      </w:r>
      <w:r>
        <w:fldChar w:fldCharType="end"/>
      </w:r>
      <w:r>
        <w:t xml:space="preserve">. Neutrality was assessed per population using Tajima’s D </w:t>
      </w:r>
      <w:r>
        <w:fldChar w:fldCharType="begin"/>
      </w:r>
      <w:r>
        <w:instrText xml:space="preserve"> ADDIN ZOTERO_ITEM CSL_CITATION {"citationID":"m4kwEMnR","properties":{"formattedCitation":"(Tajima, 1989)","plainCitation":"(Tajima, 1989)","noteIndex":0},"citationItems":[{"id":1364,"uris":["http://zotero.org/users/12168070/items/GDNFG2BZ"],"itemData":{"id":1364,"type":"article-journal","container-title":"Genetics","DOI":"10.1093/genetics/123.3.585","issue":"3","page":"585–595","title":"Statistical method for testing the neutral mutation hypothesis by DNA polymorphism","volume":"123","author":[{"family":"Tajima","given":"Fumio"}],"issued":{"date-parts":[["1989"]]}}}],"schema":"https://github.com/citation-style-language/schema/raw/master/csl-citation.json"} </w:instrText>
      </w:r>
      <w:r>
        <w:fldChar w:fldCharType="separate"/>
      </w:r>
      <w:r>
        <w:rPr>
          <w:rFonts w:cs="Arial"/>
        </w:rPr>
        <w:t>(Tajima, 1989)</w:t>
      </w:r>
      <w:r>
        <w:fldChar w:fldCharType="end"/>
      </w:r>
      <w:r>
        <w:t xml:space="preserve"> as implemented using </w:t>
      </w:r>
      <w:proofErr w:type="spellStart"/>
      <w:r>
        <w:t>pegas</w:t>
      </w:r>
      <w:proofErr w:type="spellEnd"/>
      <w:r>
        <w:t xml:space="preserve"> v1.4. Geographic visualisation of haplotype distributions was produced using OpenStreetMap basemap tiles retrieved using </w:t>
      </w:r>
      <w:proofErr w:type="spellStart"/>
      <w:r>
        <w:t>maptiles</w:t>
      </w:r>
      <w:proofErr w:type="spellEnd"/>
      <w:r>
        <w:t xml:space="preserve"> v0.11.0 </w:t>
      </w:r>
      <w:r>
        <w:fldChar w:fldCharType="begin"/>
      </w:r>
      <w:r>
        <w:instrText xml:space="preserve"> ADDIN ZOTERO_ITEM CSL_CITATION {"citationID":"LJy4DvKn","properties":{"formattedCitation":"(Giraud, 2025)","plainCitation":"(Giraud, 2025)","noteIndex":0},"citationItems":[{"id":1356,"uris":["http://zotero.org/users/12168070/items/K3G9WMCT"],"itemData":{"id":1356,"type":"book","DOI":"10.32614/CRAN.package.maptiles","title":"maptiles: Download and Display Map Tiles","URL":"https://CRAN.R-project.org/package=maptiles","author":[{"family":"Giraud","given":"Timothée"}],"issued":{"date-parts":[["2025"]]}}}],"schema":"https://github.com/citation-style-language/schema/raw/master/csl-citation.json"} </w:instrText>
      </w:r>
      <w:r>
        <w:fldChar w:fldCharType="separate"/>
      </w:r>
      <w:r>
        <w:rPr>
          <w:rFonts w:cs="Arial"/>
        </w:rPr>
        <w:t>(Giraud, 2025)</w:t>
      </w:r>
      <w:r>
        <w:fldChar w:fldCharType="end"/>
      </w:r>
      <w:r>
        <w:t xml:space="preserve">, rendered with </w:t>
      </w:r>
      <w:proofErr w:type="spellStart"/>
      <w:r>
        <w:t>tidyterra</w:t>
      </w:r>
      <w:proofErr w:type="spellEnd"/>
      <w:r>
        <w:t xml:space="preserve"> v1.0.0 and terra v1.8.93, and annotated with population-level haplotype pie charts constructed using ggplot2 v4.0.2 </w:t>
      </w:r>
      <w:r>
        <w:fldChar w:fldCharType="begin"/>
      </w:r>
      <w:r>
        <w:instrText xml:space="preserve"> ADDIN ZOTERO_ITEM CSL_CITATION {"citationID":"Nov6ROMD","properties":{"formattedCitation":"(Wickham, 2016)","plainCitation":"(Wickham, 2016)","noteIndex":0},"citationItems":[{"id":1352,"uris":["http://zotero.org/users/12168070/items/YV9YQB9L"],"itemData":{"id":1352,"type":"book","ISBN":"978-3-319-24277-4","publisher":"Springer-Verlag New York","title":"ggplot2: Elegant Graphics for Data Analysis","URL":"https://ggplot2.tidyverse.org","author":[{"family":"Wickham","given":"Hadley"}],"issued":{"date-parts":[["2016"]]}}}],"schema":"https://github.com/citation-style-language/schema/raw/master/csl-citation.json"} </w:instrText>
      </w:r>
      <w:r>
        <w:fldChar w:fldCharType="separate"/>
      </w:r>
      <w:r>
        <w:rPr>
          <w:rFonts w:cs="Arial"/>
        </w:rPr>
        <w:t>(Wickham, 2016)</w:t>
      </w:r>
      <w:r>
        <w:fldChar w:fldCharType="end"/>
      </w:r>
      <w:r>
        <w:t>.</w:t>
      </w:r>
    </w:p>
    <w:p w14:paraId="43BD309C" w14:textId="1077B745" w:rsidR="008E36B2" w:rsidRDefault="008E36B2" w:rsidP="008E36B2">
      <w:pPr>
        <w:pStyle w:val="Heading2"/>
      </w:pPr>
      <w:bookmarkStart w:id="7" w:name="_Toc225146210"/>
      <w:r>
        <w:t>Reference libraries</w:t>
      </w:r>
      <w:bookmarkEnd w:id="7"/>
      <w:r>
        <w:t xml:space="preserve"> </w:t>
      </w:r>
    </w:p>
    <w:p w14:paraId="18EC129E" w14:textId="611B2345" w:rsidR="008E36B2" w:rsidRDefault="00A31AFB" w:rsidP="008E36B2">
      <w:r w:rsidRPr="00A31AFB">
        <w:t xml:space="preserve">Gene identity was verified through comparison with publicly available sequences deposited in GenBank (National </w:t>
      </w:r>
      <w:proofErr w:type="spellStart"/>
      <w:r w:rsidRPr="00A31AFB">
        <w:t>Center</w:t>
      </w:r>
      <w:proofErr w:type="spellEnd"/>
      <w:r w:rsidRPr="00A31AFB">
        <w:t xml:space="preserve"> for Biotechnology Information, NCBI), using BLAST searches against one representative sequence per haplotype (nine COI haplotypes; eleven H3 haplotypes). For COI, all nine representative sequences returned highest-identity matches to </w:t>
      </w:r>
      <w:r w:rsidRPr="00082D3F">
        <w:rPr>
          <w:i/>
          <w:iCs/>
        </w:rPr>
        <w:t>Dolomedes plantarius</w:t>
      </w:r>
      <w:r w:rsidRPr="00A31AFB">
        <w:t xml:space="preserve"> reference sequences (KX537002.1, 98.3</w:t>
      </w:r>
      <w:r>
        <w:t>-</w:t>
      </w:r>
      <w:r w:rsidRPr="00A31AFB">
        <w:t xml:space="preserve">100% identity; OQ819316.1, 98.2–99.8% identity; KX536937.1, 98.5–100% identity), confirming correct species-level identification across all sampled haplotypes, including the rarer singleton haplotypes (BMF7, BMF9, CV4, CV7). For H3, no </w:t>
      </w:r>
      <w:r w:rsidRPr="00082D3F">
        <w:rPr>
          <w:i/>
          <w:iCs/>
        </w:rPr>
        <w:t>D. plantarius</w:t>
      </w:r>
      <w:r w:rsidRPr="00A31AFB">
        <w:t xml:space="preserve"> reference sequences are currently available on GenBank; the representative sequences instead returned highest-identity matches to congeneric species</w:t>
      </w:r>
      <w:r w:rsidR="005B6528">
        <w:t>,</w:t>
      </w:r>
      <w:r w:rsidRPr="00A31AFB">
        <w:t xml:space="preserve"> </w:t>
      </w:r>
      <w:r w:rsidRPr="005B6528">
        <w:rPr>
          <w:i/>
          <w:iCs/>
        </w:rPr>
        <w:t xml:space="preserve">D. </w:t>
      </w:r>
      <w:proofErr w:type="spellStart"/>
      <w:r w:rsidRPr="005B6528">
        <w:rPr>
          <w:i/>
          <w:iCs/>
        </w:rPr>
        <w:t>tenebrosus</w:t>
      </w:r>
      <w:proofErr w:type="spellEnd"/>
      <w:r w:rsidRPr="00A31AFB">
        <w:t xml:space="preserve"> (FJ607601.1, 96.2–97.3% identity; KY018377.1, 95.7</w:t>
      </w:r>
      <w:r>
        <w:t>-</w:t>
      </w:r>
      <w:r w:rsidRPr="00A31AFB">
        <w:t xml:space="preserve">96.8% identity) and </w:t>
      </w:r>
      <w:r w:rsidRPr="005B6528">
        <w:rPr>
          <w:i/>
          <w:iCs/>
        </w:rPr>
        <w:t>D. fimbriatus</w:t>
      </w:r>
      <w:r w:rsidRPr="00A31AFB">
        <w:t xml:space="preserve"> (KY190283.1, 97.1–98.2% identity) consistent with strong conservation of histone H3 across closely related taxa rather than any ambiguity in species assignment. No custom reference database or local sequence library was generated for this study, and population assignments were based solely on sampling locality rather than reference-based clustering.</w:t>
      </w:r>
    </w:p>
    <w:p w14:paraId="27773778" w14:textId="6AFC7BB0" w:rsidR="008E36B2" w:rsidRDefault="008E36B2" w:rsidP="008E36B2">
      <w:pPr>
        <w:pStyle w:val="Heading2"/>
      </w:pPr>
      <w:bookmarkStart w:id="8" w:name="_Toc225146211"/>
      <w:r>
        <w:t>Quality assurance</w:t>
      </w:r>
      <w:bookmarkEnd w:id="8"/>
    </w:p>
    <w:p w14:paraId="4DD412D5" w14:textId="7DCE23DA" w:rsidR="00065F88" w:rsidRDefault="00065F88" w:rsidP="00065F88">
      <w:r>
        <w:t xml:space="preserve">Quality assurance procedures were implemented throughout the laboratory, sequencing, and analytical stages to ensure the reliability of genetic results. During molecular laboratory work, extraction blank controls were included with each DNA extraction batch, and negative controls were incorporated into every PCR </w:t>
      </w:r>
      <w:r>
        <w:lastRenderedPageBreak/>
        <w:t>amplification run to monitor for potential contamination. Positive controls amplified as expected, and no amplification was observed in negative controls.</w:t>
      </w:r>
    </w:p>
    <w:p w14:paraId="3BE137D1" w14:textId="2004BABB" w:rsidR="00065F88" w:rsidRDefault="00065F88" w:rsidP="00065F88">
      <w:r>
        <w:t xml:space="preserve">PCR products were evaluated using agarose gel electrophoresis to confirm successful amplification and expected fragment sizes prior to sequencing. Sequencing chromatograms were manually inspected to assess base-calling quality, and low-quality regions at sequence termini were trimmed before analysis. Approximately 10% of samples for each genetic marker were bidirectionally sequenced to confirm </w:t>
      </w:r>
      <w:r w:rsidR="00A73893">
        <w:t xml:space="preserve">base-call consistency </w:t>
      </w:r>
      <w:r>
        <w:t>and validate the use of forward reads across the full dataset.</w:t>
      </w:r>
    </w:p>
    <w:p w14:paraId="594F32A9" w14:textId="4F15EF37" w:rsidR="00065F88" w:rsidRDefault="00065F88" w:rsidP="00065F88">
      <w:r>
        <w:t xml:space="preserve">Bioinformatic quality control included verification of coding sequences </w:t>
      </w:r>
      <w:r w:rsidR="00A73893">
        <w:t>by translating them into amino acid sequences</w:t>
      </w:r>
      <w:r>
        <w:t xml:space="preserve"> to confirm correct reading frames and identify potential sequencing artefacts. Sequences with persistent ambiguous base calls, poor chromatogram quality, or translation inconsistencies were excluded from downstream analyses using consistent filtering criteria. Following quality filtering, retained sequences remained representative across all sampled populations, ensuring that downstream population genetic analyses were not biased by sequence exclusion.</w:t>
      </w:r>
    </w:p>
    <w:p w14:paraId="7BC44445" w14:textId="4E57677E" w:rsidR="00F24981" w:rsidRDefault="00065F88" w:rsidP="00065F88">
      <w:r>
        <w:t>No manual manipulation of genetic variation or alteration of aligned sequence data was undertaken beyond quality trimming (manual visual inspection of chromatograms to trim low-quality base calls from sequence termini) and removal of unreliable reads (sequences showing messy or overlapping signal, double peaks, or persistent ambiguous base calls were excluded). Statistical analyses were conducted using reproducible workflows implemented in R, ensuring analytical transparency and repeatability.</w:t>
      </w:r>
    </w:p>
    <w:p w14:paraId="4C0235D3" w14:textId="288E3CCD" w:rsidR="00065F88" w:rsidRDefault="00191A5C" w:rsidP="00065F88">
      <w:r>
        <w:t>All laboratory and analytical procedures followed established population-genetic best practices to ensure the robustness and reproducibility of conservation-relevant genetic inferences.</w:t>
      </w:r>
    </w:p>
    <w:p w14:paraId="0840431C" w14:textId="0FD514FC" w:rsidR="00191A5C" w:rsidRDefault="00191A5C" w:rsidP="00191A5C">
      <w:pPr>
        <w:pStyle w:val="Heading1"/>
      </w:pPr>
      <w:bookmarkStart w:id="9" w:name="_Toc225146212"/>
      <w:r>
        <w:t>Results</w:t>
      </w:r>
      <w:bookmarkEnd w:id="9"/>
    </w:p>
    <w:p w14:paraId="22463C10" w14:textId="6E1B3A97" w:rsidR="00191A5C" w:rsidRDefault="00E1332B" w:rsidP="00E1332B">
      <w:pPr>
        <w:pStyle w:val="Heading2"/>
      </w:pPr>
      <w:bookmarkStart w:id="10" w:name="_Toc225146213"/>
      <w:r>
        <w:t>Sequencing success and dataset overview</w:t>
      </w:r>
      <w:bookmarkEnd w:id="10"/>
      <w:r>
        <w:t xml:space="preserve"> </w:t>
      </w:r>
    </w:p>
    <w:p w14:paraId="295B7A7F" w14:textId="725F6F35" w:rsidR="006461B3" w:rsidRDefault="006461B3" w:rsidP="006461B3">
      <w:r>
        <w:t xml:space="preserve">A total of 60 individuals were sequenced for both genetic markers. Following quality control filtering, </w:t>
      </w:r>
      <w:r w:rsidR="00793C82">
        <w:t>4</w:t>
      </w:r>
      <w:r>
        <w:t>9 high-quality COI sequences and 59 H3 sequences were retained for downstream analyses. Sequence filtering removed chromatograms with persistent ambiguous base calls or poor read quality while maintaining representation across all sampled sites.</w:t>
      </w:r>
    </w:p>
    <w:p w14:paraId="27C25732" w14:textId="35D69F87" w:rsidR="00DB6AE9" w:rsidRPr="006461B3" w:rsidRDefault="00DB6AE9" w:rsidP="006461B3">
      <w:r>
        <w:lastRenderedPageBreak/>
        <w:t>Successful amplification and sequencing were obtained from all six sampling locations (AP, BMF, CC, CV, EB and PLR), which were analysed as provisional population units to evaluate whether outlying sites represent genetically distinct populations.</w:t>
      </w:r>
    </w:p>
    <w:p w14:paraId="2FD83CF1" w14:textId="7E660CBF" w:rsidR="00CA40CA" w:rsidRDefault="00F26834" w:rsidP="00CA40CA">
      <w:pPr>
        <w:pStyle w:val="Heading2"/>
      </w:pPr>
      <w:bookmarkStart w:id="11" w:name="_Toc225146214"/>
      <w:r>
        <w:t>Genetic diversity</w:t>
      </w:r>
      <w:bookmarkEnd w:id="11"/>
      <w:r>
        <w:t xml:space="preserve"> </w:t>
      </w:r>
    </w:p>
    <w:p w14:paraId="35195940" w14:textId="61F7B9AD" w:rsidR="00CA40CA" w:rsidRDefault="00CA40CA" w:rsidP="00CA40CA">
      <w:r>
        <w:t>Genetic diversity was quantified for six sites using mitochondrial COI and nuclear H3 markers (Table 2).</w:t>
      </w:r>
    </w:p>
    <w:p w14:paraId="2EC2739D" w14:textId="19A7BD36" w:rsidR="00D43F39" w:rsidRDefault="00A72254" w:rsidP="0055548A">
      <w:pPr>
        <w:pStyle w:val="Caption"/>
      </w:pPr>
      <w:r>
        <w:t>Table 2 Genetic diversity statistics by population</w:t>
      </w:r>
    </w:p>
    <w:tbl>
      <w:tblPr>
        <w:tblStyle w:val="TableStyle4"/>
        <w:tblW w:w="0" w:type="auto"/>
        <w:tblLook w:val="04A0" w:firstRow="1" w:lastRow="0" w:firstColumn="1" w:lastColumn="0" w:noHBand="0" w:noVBand="1"/>
      </w:tblPr>
      <w:tblGrid>
        <w:gridCol w:w="1473"/>
        <w:gridCol w:w="1627"/>
        <w:gridCol w:w="1305"/>
        <w:gridCol w:w="1690"/>
        <w:gridCol w:w="1426"/>
        <w:gridCol w:w="1495"/>
      </w:tblGrid>
      <w:tr w:rsidR="00D43F39" w14:paraId="55840111" w14:textId="77777777" w:rsidTr="00DA14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3" w:type="dxa"/>
            <w:vAlign w:val="center"/>
          </w:tcPr>
          <w:p w14:paraId="431A0037" w14:textId="77777777" w:rsidR="00D43F39" w:rsidRPr="00C15623" w:rsidRDefault="00D43F39" w:rsidP="00DA1414">
            <w:pPr>
              <w:spacing w:before="360" w:after="0"/>
              <w:rPr>
                <w:iCs/>
                <w:szCs w:val="18"/>
              </w:rPr>
            </w:pPr>
            <w:r>
              <w:t>Marker</w:t>
            </w:r>
          </w:p>
        </w:tc>
        <w:tc>
          <w:tcPr>
            <w:tcW w:w="1603" w:type="dxa"/>
            <w:vAlign w:val="center"/>
          </w:tcPr>
          <w:p w14:paraId="5787199E" w14:textId="4F9FEDEE" w:rsidR="00D43F39" w:rsidRPr="00C15623" w:rsidRDefault="00DB6AE9" w:rsidP="00DA1414">
            <w:pPr>
              <w:spacing w:before="360" w:after="0"/>
              <w:cnfStyle w:val="100000000000" w:firstRow="1" w:lastRow="0" w:firstColumn="0" w:lastColumn="0" w:oddVBand="0" w:evenVBand="0" w:oddHBand="0" w:evenHBand="0" w:firstRowFirstColumn="0" w:firstRowLastColumn="0" w:lastRowFirstColumn="0" w:lastRowLastColumn="0"/>
              <w:rPr>
                <w:iCs/>
                <w:szCs w:val="18"/>
              </w:rPr>
            </w:pPr>
            <w:r>
              <w:rPr>
                <w:iCs/>
              </w:rPr>
              <w:t>Population</w:t>
            </w:r>
          </w:p>
        </w:tc>
        <w:tc>
          <w:tcPr>
            <w:tcW w:w="1603" w:type="dxa"/>
            <w:vAlign w:val="center"/>
          </w:tcPr>
          <w:p w14:paraId="74EEA1DB" w14:textId="77777777" w:rsidR="00D43F39" w:rsidRPr="00C15623" w:rsidRDefault="00D43F39" w:rsidP="00DA1414">
            <w:pPr>
              <w:spacing w:before="360" w:after="0"/>
              <w:cnfStyle w:val="100000000000" w:firstRow="1" w:lastRow="0" w:firstColumn="0" w:lastColumn="0" w:oddVBand="0" w:evenVBand="0" w:oddHBand="0" w:evenHBand="0" w:firstRowFirstColumn="0" w:firstRowLastColumn="0" w:lastRowFirstColumn="0" w:lastRowLastColumn="0"/>
              <w:rPr>
                <w:iCs/>
                <w:szCs w:val="18"/>
              </w:rPr>
            </w:pPr>
            <w:r>
              <w:t>N</w:t>
            </w:r>
          </w:p>
        </w:tc>
        <w:tc>
          <w:tcPr>
            <w:tcW w:w="1604" w:type="dxa"/>
            <w:vAlign w:val="center"/>
          </w:tcPr>
          <w:p w14:paraId="01C43823" w14:textId="77777777" w:rsidR="00D43F39" w:rsidRPr="00C15623" w:rsidRDefault="00D43F39" w:rsidP="00DA1414">
            <w:pPr>
              <w:spacing w:before="360" w:after="0"/>
              <w:cnfStyle w:val="100000000000" w:firstRow="1" w:lastRow="0" w:firstColumn="0" w:lastColumn="0" w:oddVBand="0" w:evenVBand="0" w:oddHBand="0" w:evenHBand="0" w:firstRowFirstColumn="0" w:firstRowLastColumn="0" w:lastRowFirstColumn="0" w:lastRowLastColumn="0"/>
              <w:rPr>
                <w:iCs/>
                <w:szCs w:val="18"/>
              </w:rPr>
            </w:pPr>
            <w:r>
              <w:t>Haplotypes</w:t>
            </w:r>
          </w:p>
        </w:tc>
        <w:tc>
          <w:tcPr>
            <w:tcW w:w="1604" w:type="dxa"/>
            <w:vAlign w:val="center"/>
          </w:tcPr>
          <w:p w14:paraId="5FAA47A4" w14:textId="77777777" w:rsidR="00D43F39" w:rsidRPr="00C15623" w:rsidRDefault="00D43F39" w:rsidP="00DA1414">
            <w:pPr>
              <w:spacing w:before="360" w:after="0"/>
              <w:cnfStyle w:val="100000000000" w:firstRow="1" w:lastRow="0" w:firstColumn="0" w:lastColumn="0" w:oddVBand="0" w:evenVBand="0" w:oddHBand="0" w:evenHBand="0" w:firstRowFirstColumn="0" w:firstRowLastColumn="0" w:lastRowFirstColumn="0" w:lastRowLastColumn="0"/>
              <w:rPr>
                <w:iCs/>
                <w:szCs w:val="18"/>
              </w:rPr>
            </w:pPr>
            <w:proofErr w:type="spellStart"/>
            <w:r>
              <w:t>Hd</w:t>
            </w:r>
            <w:proofErr w:type="spellEnd"/>
          </w:p>
        </w:tc>
        <w:tc>
          <w:tcPr>
            <w:tcW w:w="1604" w:type="dxa"/>
            <w:vAlign w:val="center"/>
          </w:tcPr>
          <w:p w14:paraId="228B4FE0" w14:textId="77777777" w:rsidR="00D43F39" w:rsidRPr="00C15623" w:rsidRDefault="00D43F39" w:rsidP="00DA1414">
            <w:pPr>
              <w:spacing w:before="360" w:after="0"/>
              <w:cnfStyle w:val="100000000000" w:firstRow="1" w:lastRow="0" w:firstColumn="0" w:lastColumn="0" w:oddVBand="0" w:evenVBand="0" w:oddHBand="0" w:evenHBand="0" w:firstRowFirstColumn="0" w:firstRowLastColumn="0" w:lastRowFirstColumn="0" w:lastRowLastColumn="0"/>
              <w:rPr>
                <w:iCs/>
                <w:szCs w:val="18"/>
              </w:rPr>
            </w:pPr>
            <w:r>
              <w:t>π</w:t>
            </w:r>
          </w:p>
        </w:tc>
      </w:tr>
      <w:tr w:rsidR="00D43F39" w14:paraId="7EC7DDD4" w14:textId="77777777" w:rsidTr="00DA1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3" w:type="dxa"/>
            <w:vAlign w:val="center"/>
          </w:tcPr>
          <w:p w14:paraId="4429C7F6" w14:textId="77777777" w:rsidR="00D43F39" w:rsidRDefault="00D43F39" w:rsidP="00DA1414">
            <w:pPr>
              <w:spacing w:before="360" w:after="0"/>
              <w:rPr>
                <w:b w:val="0"/>
                <w:iCs/>
                <w:szCs w:val="18"/>
              </w:rPr>
            </w:pPr>
            <w:r>
              <w:t>COI</w:t>
            </w:r>
          </w:p>
        </w:tc>
        <w:tc>
          <w:tcPr>
            <w:tcW w:w="1603" w:type="dxa"/>
            <w:vAlign w:val="center"/>
          </w:tcPr>
          <w:p w14:paraId="11E8F998" w14:textId="77777777" w:rsidR="00D43F39" w:rsidRDefault="00D43F3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AP</w:t>
            </w:r>
          </w:p>
        </w:tc>
        <w:tc>
          <w:tcPr>
            <w:tcW w:w="1603" w:type="dxa"/>
            <w:vAlign w:val="center"/>
          </w:tcPr>
          <w:p w14:paraId="31BBEBCD" w14:textId="77777777" w:rsidR="00D43F39" w:rsidRDefault="00D43F3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6</w:t>
            </w:r>
          </w:p>
        </w:tc>
        <w:tc>
          <w:tcPr>
            <w:tcW w:w="1604" w:type="dxa"/>
            <w:vAlign w:val="center"/>
          </w:tcPr>
          <w:p w14:paraId="1151D810" w14:textId="77777777" w:rsidR="00D43F39" w:rsidRDefault="00D43F3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3</w:t>
            </w:r>
          </w:p>
        </w:tc>
        <w:tc>
          <w:tcPr>
            <w:tcW w:w="1604" w:type="dxa"/>
            <w:vAlign w:val="center"/>
          </w:tcPr>
          <w:p w14:paraId="0BDAA752" w14:textId="77777777" w:rsidR="00D43F39" w:rsidRDefault="00D43F3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0.6000</w:t>
            </w:r>
          </w:p>
        </w:tc>
        <w:tc>
          <w:tcPr>
            <w:tcW w:w="1604" w:type="dxa"/>
            <w:vAlign w:val="center"/>
          </w:tcPr>
          <w:p w14:paraId="5E51AF88" w14:textId="77777777" w:rsidR="00D43F39" w:rsidRDefault="00D43F3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0.001433</w:t>
            </w:r>
          </w:p>
        </w:tc>
      </w:tr>
      <w:tr w:rsidR="00D43F39" w14:paraId="2D028F78" w14:textId="77777777" w:rsidTr="00DA1414">
        <w:tc>
          <w:tcPr>
            <w:cnfStyle w:val="001000000000" w:firstRow="0" w:lastRow="0" w:firstColumn="1" w:lastColumn="0" w:oddVBand="0" w:evenVBand="0" w:oddHBand="0" w:evenHBand="0" w:firstRowFirstColumn="0" w:firstRowLastColumn="0" w:lastRowFirstColumn="0" w:lastRowLastColumn="0"/>
            <w:tcW w:w="1603" w:type="dxa"/>
            <w:vAlign w:val="center"/>
          </w:tcPr>
          <w:p w14:paraId="5495FDA8" w14:textId="77777777" w:rsidR="00D43F39" w:rsidRDefault="00D43F39" w:rsidP="00DA1414">
            <w:pPr>
              <w:spacing w:before="360" w:after="0"/>
              <w:rPr>
                <w:b w:val="0"/>
                <w:iCs/>
                <w:szCs w:val="18"/>
              </w:rPr>
            </w:pPr>
          </w:p>
        </w:tc>
        <w:tc>
          <w:tcPr>
            <w:tcW w:w="1603" w:type="dxa"/>
            <w:vAlign w:val="center"/>
          </w:tcPr>
          <w:p w14:paraId="193108C0" w14:textId="77777777" w:rsidR="00D43F39" w:rsidRDefault="00D43F3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BMF</w:t>
            </w:r>
          </w:p>
        </w:tc>
        <w:tc>
          <w:tcPr>
            <w:tcW w:w="1603" w:type="dxa"/>
            <w:vAlign w:val="center"/>
          </w:tcPr>
          <w:p w14:paraId="092964C0" w14:textId="77777777" w:rsidR="00D43F39" w:rsidRDefault="00D43F3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8</w:t>
            </w:r>
          </w:p>
        </w:tc>
        <w:tc>
          <w:tcPr>
            <w:tcW w:w="1604" w:type="dxa"/>
            <w:vAlign w:val="center"/>
          </w:tcPr>
          <w:p w14:paraId="140AD9AB" w14:textId="77777777" w:rsidR="00D43F39" w:rsidRDefault="00D43F3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5</w:t>
            </w:r>
          </w:p>
        </w:tc>
        <w:tc>
          <w:tcPr>
            <w:tcW w:w="1604" w:type="dxa"/>
            <w:vAlign w:val="center"/>
          </w:tcPr>
          <w:p w14:paraId="7F4D2645" w14:textId="77777777" w:rsidR="00D43F39" w:rsidRDefault="00D43F3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0.7857</w:t>
            </w:r>
          </w:p>
        </w:tc>
        <w:tc>
          <w:tcPr>
            <w:tcW w:w="1604" w:type="dxa"/>
            <w:vAlign w:val="center"/>
          </w:tcPr>
          <w:p w14:paraId="4DC22B43" w14:textId="77777777" w:rsidR="00D43F39" w:rsidRDefault="00D43F3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0.006789</w:t>
            </w:r>
          </w:p>
        </w:tc>
      </w:tr>
      <w:tr w:rsidR="00D43F39" w14:paraId="5CB0A94F" w14:textId="77777777" w:rsidTr="00DA1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3" w:type="dxa"/>
            <w:vAlign w:val="center"/>
          </w:tcPr>
          <w:p w14:paraId="5646B82C" w14:textId="77777777" w:rsidR="00D43F39" w:rsidRDefault="00D43F39" w:rsidP="00DA1414">
            <w:pPr>
              <w:spacing w:before="360" w:after="0"/>
              <w:rPr>
                <w:b w:val="0"/>
                <w:iCs/>
                <w:szCs w:val="18"/>
              </w:rPr>
            </w:pPr>
          </w:p>
        </w:tc>
        <w:tc>
          <w:tcPr>
            <w:tcW w:w="1603" w:type="dxa"/>
            <w:vAlign w:val="center"/>
          </w:tcPr>
          <w:p w14:paraId="7214580F" w14:textId="77777777" w:rsidR="00D43F39" w:rsidRDefault="00D43F3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CC</w:t>
            </w:r>
          </w:p>
        </w:tc>
        <w:tc>
          <w:tcPr>
            <w:tcW w:w="1603" w:type="dxa"/>
            <w:vAlign w:val="center"/>
          </w:tcPr>
          <w:p w14:paraId="11831CC1" w14:textId="77777777" w:rsidR="00D43F39" w:rsidRDefault="00D43F3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10</w:t>
            </w:r>
          </w:p>
        </w:tc>
        <w:tc>
          <w:tcPr>
            <w:tcW w:w="1604" w:type="dxa"/>
            <w:vAlign w:val="center"/>
          </w:tcPr>
          <w:p w14:paraId="6DF2E1C4" w14:textId="77777777" w:rsidR="00D43F39" w:rsidRDefault="00D43F3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2</w:t>
            </w:r>
          </w:p>
        </w:tc>
        <w:tc>
          <w:tcPr>
            <w:tcW w:w="1604" w:type="dxa"/>
            <w:vAlign w:val="center"/>
          </w:tcPr>
          <w:p w14:paraId="19CC0B40" w14:textId="77777777" w:rsidR="00D43F39" w:rsidRDefault="00D43F3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0.2000</w:t>
            </w:r>
          </w:p>
        </w:tc>
        <w:tc>
          <w:tcPr>
            <w:tcW w:w="1604" w:type="dxa"/>
            <w:vAlign w:val="center"/>
          </w:tcPr>
          <w:p w14:paraId="43D85138" w14:textId="77777777" w:rsidR="00D43F39" w:rsidRDefault="00D43F3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0.000331</w:t>
            </w:r>
          </w:p>
        </w:tc>
      </w:tr>
      <w:tr w:rsidR="00D43F39" w14:paraId="3C75FD1E" w14:textId="77777777" w:rsidTr="00DA1414">
        <w:tc>
          <w:tcPr>
            <w:cnfStyle w:val="001000000000" w:firstRow="0" w:lastRow="0" w:firstColumn="1" w:lastColumn="0" w:oddVBand="0" w:evenVBand="0" w:oddHBand="0" w:evenHBand="0" w:firstRowFirstColumn="0" w:firstRowLastColumn="0" w:lastRowFirstColumn="0" w:lastRowLastColumn="0"/>
            <w:tcW w:w="1603" w:type="dxa"/>
            <w:vAlign w:val="center"/>
          </w:tcPr>
          <w:p w14:paraId="005C1EFC" w14:textId="77777777" w:rsidR="00D43F39" w:rsidRDefault="00D43F39" w:rsidP="00DA1414">
            <w:pPr>
              <w:spacing w:before="360" w:after="0"/>
              <w:rPr>
                <w:b w:val="0"/>
                <w:iCs/>
                <w:szCs w:val="18"/>
              </w:rPr>
            </w:pPr>
          </w:p>
        </w:tc>
        <w:tc>
          <w:tcPr>
            <w:tcW w:w="1603" w:type="dxa"/>
            <w:vAlign w:val="center"/>
          </w:tcPr>
          <w:p w14:paraId="691D5082" w14:textId="77777777" w:rsidR="00D43F39" w:rsidRDefault="00D43F3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CV</w:t>
            </w:r>
          </w:p>
        </w:tc>
        <w:tc>
          <w:tcPr>
            <w:tcW w:w="1603" w:type="dxa"/>
            <w:vAlign w:val="center"/>
          </w:tcPr>
          <w:p w14:paraId="24A67674" w14:textId="77777777" w:rsidR="00D43F39" w:rsidRDefault="00D43F3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7</w:t>
            </w:r>
          </w:p>
        </w:tc>
        <w:tc>
          <w:tcPr>
            <w:tcW w:w="1604" w:type="dxa"/>
            <w:vAlign w:val="center"/>
          </w:tcPr>
          <w:p w14:paraId="211AFF3C" w14:textId="77777777" w:rsidR="00D43F39" w:rsidRDefault="00D43F3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3</w:t>
            </w:r>
          </w:p>
        </w:tc>
        <w:tc>
          <w:tcPr>
            <w:tcW w:w="1604" w:type="dxa"/>
            <w:vAlign w:val="center"/>
          </w:tcPr>
          <w:p w14:paraId="23BE5207" w14:textId="77777777" w:rsidR="00D43F39" w:rsidRDefault="00D43F3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0.5238</w:t>
            </w:r>
          </w:p>
        </w:tc>
        <w:tc>
          <w:tcPr>
            <w:tcW w:w="1604" w:type="dxa"/>
            <w:vAlign w:val="center"/>
          </w:tcPr>
          <w:p w14:paraId="575D96FB" w14:textId="77777777" w:rsidR="00D43F39" w:rsidRDefault="00D43F3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0.002676</w:t>
            </w:r>
          </w:p>
        </w:tc>
      </w:tr>
      <w:tr w:rsidR="00D43F39" w14:paraId="59DCD455" w14:textId="77777777" w:rsidTr="00DA1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3" w:type="dxa"/>
            <w:vAlign w:val="center"/>
          </w:tcPr>
          <w:p w14:paraId="157C2AE3" w14:textId="77777777" w:rsidR="00D43F39" w:rsidRDefault="00D43F39" w:rsidP="00DA1414">
            <w:pPr>
              <w:spacing w:before="360" w:after="0"/>
              <w:rPr>
                <w:b w:val="0"/>
                <w:iCs/>
                <w:szCs w:val="18"/>
              </w:rPr>
            </w:pPr>
          </w:p>
        </w:tc>
        <w:tc>
          <w:tcPr>
            <w:tcW w:w="1603" w:type="dxa"/>
            <w:vAlign w:val="center"/>
          </w:tcPr>
          <w:p w14:paraId="578608C6" w14:textId="77777777" w:rsidR="00D43F39" w:rsidRDefault="00D43F3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EB</w:t>
            </w:r>
          </w:p>
        </w:tc>
        <w:tc>
          <w:tcPr>
            <w:tcW w:w="1603" w:type="dxa"/>
            <w:vAlign w:val="center"/>
          </w:tcPr>
          <w:p w14:paraId="4C0B8A9E" w14:textId="77777777" w:rsidR="00D43F39" w:rsidRDefault="00D43F3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9</w:t>
            </w:r>
          </w:p>
        </w:tc>
        <w:tc>
          <w:tcPr>
            <w:tcW w:w="1604" w:type="dxa"/>
            <w:vAlign w:val="center"/>
          </w:tcPr>
          <w:p w14:paraId="71D19E72" w14:textId="77777777" w:rsidR="00D43F39" w:rsidRDefault="00D43F3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4</w:t>
            </w:r>
          </w:p>
        </w:tc>
        <w:tc>
          <w:tcPr>
            <w:tcW w:w="1604" w:type="dxa"/>
            <w:vAlign w:val="center"/>
          </w:tcPr>
          <w:p w14:paraId="11B86D75" w14:textId="77777777" w:rsidR="00D43F39" w:rsidRDefault="00D43F3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0.7778</w:t>
            </w:r>
          </w:p>
        </w:tc>
        <w:tc>
          <w:tcPr>
            <w:tcW w:w="1604" w:type="dxa"/>
            <w:vAlign w:val="center"/>
          </w:tcPr>
          <w:p w14:paraId="6B4BE6A9" w14:textId="77777777" w:rsidR="00D43F39" w:rsidRDefault="00D43F3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0.002571</w:t>
            </w:r>
          </w:p>
        </w:tc>
      </w:tr>
      <w:tr w:rsidR="00D43F39" w14:paraId="407FD707" w14:textId="77777777" w:rsidTr="00DA1414">
        <w:tc>
          <w:tcPr>
            <w:cnfStyle w:val="001000000000" w:firstRow="0" w:lastRow="0" w:firstColumn="1" w:lastColumn="0" w:oddVBand="0" w:evenVBand="0" w:oddHBand="0" w:evenHBand="0" w:firstRowFirstColumn="0" w:firstRowLastColumn="0" w:lastRowFirstColumn="0" w:lastRowLastColumn="0"/>
            <w:tcW w:w="1603" w:type="dxa"/>
            <w:vAlign w:val="center"/>
          </w:tcPr>
          <w:p w14:paraId="07CAB34C" w14:textId="77777777" w:rsidR="00D43F39" w:rsidRDefault="00D43F39" w:rsidP="00DA1414">
            <w:pPr>
              <w:spacing w:before="360" w:after="0"/>
              <w:rPr>
                <w:b w:val="0"/>
                <w:iCs/>
                <w:szCs w:val="18"/>
              </w:rPr>
            </w:pPr>
          </w:p>
        </w:tc>
        <w:tc>
          <w:tcPr>
            <w:tcW w:w="1603" w:type="dxa"/>
            <w:vAlign w:val="center"/>
          </w:tcPr>
          <w:p w14:paraId="064D2C1A" w14:textId="77777777" w:rsidR="00D43F39" w:rsidRDefault="00D43F3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PLR</w:t>
            </w:r>
          </w:p>
        </w:tc>
        <w:tc>
          <w:tcPr>
            <w:tcW w:w="1603" w:type="dxa"/>
            <w:vAlign w:val="center"/>
          </w:tcPr>
          <w:p w14:paraId="59A18B7B" w14:textId="77777777" w:rsidR="00D43F39" w:rsidRDefault="00D43F3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9</w:t>
            </w:r>
          </w:p>
        </w:tc>
        <w:tc>
          <w:tcPr>
            <w:tcW w:w="1604" w:type="dxa"/>
            <w:vAlign w:val="center"/>
          </w:tcPr>
          <w:p w14:paraId="2570C3B4" w14:textId="77777777" w:rsidR="00D43F39" w:rsidRDefault="00D43F3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2</w:t>
            </w:r>
          </w:p>
        </w:tc>
        <w:tc>
          <w:tcPr>
            <w:tcW w:w="1604" w:type="dxa"/>
            <w:vAlign w:val="center"/>
          </w:tcPr>
          <w:p w14:paraId="721097F2" w14:textId="77777777" w:rsidR="00D43F39" w:rsidRDefault="00D43F3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0.2222</w:t>
            </w:r>
          </w:p>
        </w:tc>
        <w:tc>
          <w:tcPr>
            <w:tcW w:w="1604" w:type="dxa"/>
            <w:vAlign w:val="center"/>
          </w:tcPr>
          <w:p w14:paraId="01A20AAA" w14:textId="77777777" w:rsidR="00D43F39" w:rsidRDefault="00D43F3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0.002204</w:t>
            </w:r>
          </w:p>
        </w:tc>
      </w:tr>
      <w:tr w:rsidR="00D43F39" w14:paraId="16283E39" w14:textId="77777777" w:rsidTr="00DA1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3" w:type="dxa"/>
            <w:vAlign w:val="center"/>
          </w:tcPr>
          <w:p w14:paraId="0368F506" w14:textId="77777777" w:rsidR="00D43F39" w:rsidRDefault="00D43F39" w:rsidP="00DA1414">
            <w:pPr>
              <w:spacing w:before="360" w:after="0"/>
              <w:rPr>
                <w:b w:val="0"/>
                <w:iCs/>
                <w:szCs w:val="18"/>
              </w:rPr>
            </w:pPr>
            <w:r>
              <w:t>H3</w:t>
            </w:r>
          </w:p>
        </w:tc>
        <w:tc>
          <w:tcPr>
            <w:tcW w:w="1603" w:type="dxa"/>
            <w:vAlign w:val="center"/>
          </w:tcPr>
          <w:p w14:paraId="6C8C9F13" w14:textId="77777777" w:rsidR="00D43F39" w:rsidRDefault="00D43F3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AP</w:t>
            </w:r>
          </w:p>
        </w:tc>
        <w:tc>
          <w:tcPr>
            <w:tcW w:w="1603" w:type="dxa"/>
            <w:vAlign w:val="center"/>
          </w:tcPr>
          <w:p w14:paraId="69BF8912" w14:textId="77777777" w:rsidR="00D43F39" w:rsidRDefault="00D43F3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10</w:t>
            </w:r>
          </w:p>
        </w:tc>
        <w:tc>
          <w:tcPr>
            <w:tcW w:w="1604" w:type="dxa"/>
            <w:vAlign w:val="center"/>
          </w:tcPr>
          <w:p w14:paraId="73FA6A67" w14:textId="77777777" w:rsidR="00D43F39" w:rsidRDefault="00D43F3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2</w:t>
            </w:r>
          </w:p>
        </w:tc>
        <w:tc>
          <w:tcPr>
            <w:tcW w:w="1604" w:type="dxa"/>
            <w:vAlign w:val="center"/>
          </w:tcPr>
          <w:p w14:paraId="68D0DCB7" w14:textId="77777777" w:rsidR="00D43F39" w:rsidRDefault="00D43F3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0.2000</w:t>
            </w:r>
          </w:p>
        </w:tc>
        <w:tc>
          <w:tcPr>
            <w:tcW w:w="1604" w:type="dxa"/>
            <w:vAlign w:val="center"/>
          </w:tcPr>
          <w:p w14:paraId="2FB03684" w14:textId="77777777" w:rsidR="00D43F39" w:rsidRDefault="00D43F3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0.003390</w:t>
            </w:r>
          </w:p>
        </w:tc>
      </w:tr>
      <w:tr w:rsidR="00D43F39" w14:paraId="5A702EE0" w14:textId="77777777" w:rsidTr="00DA1414">
        <w:tc>
          <w:tcPr>
            <w:cnfStyle w:val="001000000000" w:firstRow="0" w:lastRow="0" w:firstColumn="1" w:lastColumn="0" w:oddVBand="0" w:evenVBand="0" w:oddHBand="0" w:evenHBand="0" w:firstRowFirstColumn="0" w:firstRowLastColumn="0" w:lastRowFirstColumn="0" w:lastRowLastColumn="0"/>
            <w:tcW w:w="1603" w:type="dxa"/>
            <w:vAlign w:val="center"/>
          </w:tcPr>
          <w:p w14:paraId="20E7C323" w14:textId="77777777" w:rsidR="00D43F39" w:rsidRDefault="00D43F39" w:rsidP="00DA1414">
            <w:pPr>
              <w:spacing w:before="360" w:after="0"/>
              <w:rPr>
                <w:b w:val="0"/>
                <w:iCs/>
                <w:szCs w:val="18"/>
              </w:rPr>
            </w:pPr>
          </w:p>
        </w:tc>
        <w:tc>
          <w:tcPr>
            <w:tcW w:w="1603" w:type="dxa"/>
            <w:vAlign w:val="center"/>
          </w:tcPr>
          <w:p w14:paraId="7635D28E" w14:textId="77777777" w:rsidR="00D43F39" w:rsidRDefault="00D43F3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BMF</w:t>
            </w:r>
          </w:p>
        </w:tc>
        <w:tc>
          <w:tcPr>
            <w:tcW w:w="1603" w:type="dxa"/>
            <w:vAlign w:val="center"/>
          </w:tcPr>
          <w:p w14:paraId="09DB7E4F" w14:textId="77777777" w:rsidR="00D43F39" w:rsidRDefault="00D43F3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9</w:t>
            </w:r>
          </w:p>
        </w:tc>
        <w:tc>
          <w:tcPr>
            <w:tcW w:w="1604" w:type="dxa"/>
            <w:vAlign w:val="center"/>
          </w:tcPr>
          <w:p w14:paraId="448965C1" w14:textId="77777777" w:rsidR="00D43F39" w:rsidRDefault="00D43F3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4</w:t>
            </w:r>
          </w:p>
        </w:tc>
        <w:tc>
          <w:tcPr>
            <w:tcW w:w="1604" w:type="dxa"/>
            <w:vAlign w:val="center"/>
          </w:tcPr>
          <w:p w14:paraId="66117AC6" w14:textId="77777777" w:rsidR="00D43F39" w:rsidRDefault="00D43F3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0.5833</w:t>
            </w:r>
          </w:p>
        </w:tc>
        <w:tc>
          <w:tcPr>
            <w:tcW w:w="1604" w:type="dxa"/>
            <w:vAlign w:val="center"/>
          </w:tcPr>
          <w:p w14:paraId="479FD9B7" w14:textId="77777777" w:rsidR="00D43F39" w:rsidRDefault="00D43F3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0.004896</w:t>
            </w:r>
          </w:p>
        </w:tc>
      </w:tr>
      <w:tr w:rsidR="00D43F39" w14:paraId="2F8C0610" w14:textId="77777777" w:rsidTr="00DA1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3" w:type="dxa"/>
            <w:vAlign w:val="center"/>
          </w:tcPr>
          <w:p w14:paraId="1CC328B6" w14:textId="77777777" w:rsidR="00D43F39" w:rsidRDefault="00D43F39" w:rsidP="00DA1414">
            <w:pPr>
              <w:spacing w:before="360" w:after="0"/>
              <w:rPr>
                <w:b w:val="0"/>
                <w:iCs/>
                <w:szCs w:val="18"/>
              </w:rPr>
            </w:pPr>
          </w:p>
        </w:tc>
        <w:tc>
          <w:tcPr>
            <w:tcW w:w="1603" w:type="dxa"/>
            <w:vAlign w:val="center"/>
          </w:tcPr>
          <w:p w14:paraId="05FD7FB9" w14:textId="77777777" w:rsidR="00D43F39" w:rsidRDefault="00D43F3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CC</w:t>
            </w:r>
          </w:p>
        </w:tc>
        <w:tc>
          <w:tcPr>
            <w:tcW w:w="1603" w:type="dxa"/>
            <w:vAlign w:val="center"/>
          </w:tcPr>
          <w:p w14:paraId="6919991F" w14:textId="77777777" w:rsidR="00D43F39" w:rsidRDefault="00D43F3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10</w:t>
            </w:r>
          </w:p>
        </w:tc>
        <w:tc>
          <w:tcPr>
            <w:tcW w:w="1604" w:type="dxa"/>
            <w:vAlign w:val="center"/>
          </w:tcPr>
          <w:p w14:paraId="16142DF4" w14:textId="77777777" w:rsidR="00D43F39" w:rsidRDefault="00D43F3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5</w:t>
            </w:r>
          </w:p>
        </w:tc>
        <w:tc>
          <w:tcPr>
            <w:tcW w:w="1604" w:type="dxa"/>
            <w:vAlign w:val="center"/>
          </w:tcPr>
          <w:p w14:paraId="1F33AE81" w14:textId="77777777" w:rsidR="00D43F39" w:rsidRDefault="00D43F3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0.7556</w:t>
            </w:r>
          </w:p>
        </w:tc>
        <w:tc>
          <w:tcPr>
            <w:tcW w:w="1604" w:type="dxa"/>
            <w:vAlign w:val="center"/>
          </w:tcPr>
          <w:p w14:paraId="1CBA3B92" w14:textId="77777777" w:rsidR="00D43F39" w:rsidRDefault="00D43F3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0.007684</w:t>
            </w:r>
          </w:p>
        </w:tc>
      </w:tr>
      <w:tr w:rsidR="00D43F39" w14:paraId="53972A9E" w14:textId="77777777" w:rsidTr="00DA1414">
        <w:tc>
          <w:tcPr>
            <w:cnfStyle w:val="001000000000" w:firstRow="0" w:lastRow="0" w:firstColumn="1" w:lastColumn="0" w:oddVBand="0" w:evenVBand="0" w:oddHBand="0" w:evenHBand="0" w:firstRowFirstColumn="0" w:firstRowLastColumn="0" w:lastRowFirstColumn="0" w:lastRowLastColumn="0"/>
            <w:tcW w:w="1603" w:type="dxa"/>
            <w:vAlign w:val="center"/>
          </w:tcPr>
          <w:p w14:paraId="29D16C3B" w14:textId="77777777" w:rsidR="00D43F39" w:rsidRDefault="00D43F39" w:rsidP="00DA1414">
            <w:pPr>
              <w:spacing w:before="360" w:after="0"/>
              <w:rPr>
                <w:b w:val="0"/>
                <w:iCs/>
                <w:szCs w:val="18"/>
              </w:rPr>
            </w:pPr>
          </w:p>
        </w:tc>
        <w:tc>
          <w:tcPr>
            <w:tcW w:w="1603" w:type="dxa"/>
            <w:vAlign w:val="center"/>
          </w:tcPr>
          <w:p w14:paraId="6231D3CC" w14:textId="77777777" w:rsidR="00D43F39" w:rsidRDefault="00D43F3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CV</w:t>
            </w:r>
          </w:p>
        </w:tc>
        <w:tc>
          <w:tcPr>
            <w:tcW w:w="1603" w:type="dxa"/>
            <w:vAlign w:val="center"/>
          </w:tcPr>
          <w:p w14:paraId="2C971413" w14:textId="77777777" w:rsidR="00D43F39" w:rsidRDefault="00D43F3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9</w:t>
            </w:r>
          </w:p>
        </w:tc>
        <w:tc>
          <w:tcPr>
            <w:tcW w:w="1604" w:type="dxa"/>
            <w:vAlign w:val="center"/>
          </w:tcPr>
          <w:p w14:paraId="3AE9E403" w14:textId="77777777" w:rsidR="00D43F39" w:rsidRDefault="00D43F3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4</w:t>
            </w:r>
          </w:p>
        </w:tc>
        <w:tc>
          <w:tcPr>
            <w:tcW w:w="1604" w:type="dxa"/>
            <w:vAlign w:val="center"/>
          </w:tcPr>
          <w:p w14:paraId="39DD0907" w14:textId="77777777" w:rsidR="00D43F39" w:rsidRDefault="00D43F3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0.5833</w:t>
            </w:r>
          </w:p>
        </w:tc>
        <w:tc>
          <w:tcPr>
            <w:tcW w:w="1604" w:type="dxa"/>
            <w:vAlign w:val="center"/>
          </w:tcPr>
          <w:p w14:paraId="6FB02563" w14:textId="77777777" w:rsidR="00D43F39" w:rsidRDefault="00D43F3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0.003955</w:t>
            </w:r>
          </w:p>
        </w:tc>
      </w:tr>
      <w:tr w:rsidR="00D43F39" w14:paraId="1FF0BDD2" w14:textId="77777777" w:rsidTr="00DA1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3" w:type="dxa"/>
            <w:vAlign w:val="center"/>
          </w:tcPr>
          <w:p w14:paraId="694ADFB7" w14:textId="77777777" w:rsidR="00D43F39" w:rsidRDefault="00D43F39" w:rsidP="00DA1414">
            <w:pPr>
              <w:spacing w:before="360" w:after="0"/>
              <w:rPr>
                <w:b w:val="0"/>
                <w:iCs/>
                <w:szCs w:val="18"/>
              </w:rPr>
            </w:pPr>
          </w:p>
        </w:tc>
        <w:tc>
          <w:tcPr>
            <w:tcW w:w="1603" w:type="dxa"/>
            <w:vAlign w:val="center"/>
          </w:tcPr>
          <w:p w14:paraId="78755408" w14:textId="77777777" w:rsidR="00D43F39" w:rsidRDefault="00D43F3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EB</w:t>
            </w:r>
          </w:p>
        </w:tc>
        <w:tc>
          <w:tcPr>
            <w:tcW w:w="1603" w:type="dxa"/>
            <w:vAlign w:val="center"/>
          </w:tcPr>
          <w:p w14:paraId="4825ADF8" w14:textId="77777777" w:rsidR="00D43F39" w:rsidRDefault="00D43F3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10</w:t>
            </w:r>
          </w:p>
        </w:tc>
        <w:tc>
          <w:tcPr>
            <w:tcW w:w="1604" w:type="dxa"/>
            <w:vAlign w:val="center"/>
          </w:tcPr>
          <w:p w14:paraId="688FCEB2" w14:textId="77777777" w:rsidR="00D43F39" w:rsidRDefault="00D43F3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5</w:t>
            </w:r>
          </w:p>
        </w:tc>
        <w:tc>
          <w:tcPr>
            <w:tcW w:w="1604" w:type="dxa"/>
            <w:vAlign w:val="center"/>
          </w:tcPr>
          <w:p w14:paraId="6FF96711" w14:textId="77777777" w:rsidR="00D43F39" w:rsidRDefault="00D43F3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0.8222</w:t>
            </w:r>
          </w:p>
        </w:tc>
        <w:tc>
          <w:tcPr>
            <w:tcW w:w="1604" w:type="dxa"/>
            <w:vAlign w:val="center"/>
          </w:tcPr>
          <w:p w14:paraId="4DF3E04D" w14:textId="77777777" w:rsidR="00D43F39" w:rsidRDefault="00D43F3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0.008889</w:t>
            </w:r>
          </w:p>
        </w:tc>
      </w:tr>
      <w:tr w:rsidR="00D43F39" w14:paraId="0ED83B24" w14:textId="77777777" w:rsidTr="00DA1414">
        <w:tc>
          <w:tcPr>
            <w:cnfStyle w:val="001000000000" w:firstRow="0" w:lastRow="0" w:firstColumn="1" w:lastColumn="0" w:oddVBand="0" w:evenVBand="0" w:oddHBand="0" w:evenHBand="0" w:firstRowFirstColumn="0" w:firstRowLastColumn="0" w:lastRowFirstColumn="0" w:lastRowLastColumn="0"/>
            <w:tcW w:w="1603" w:type="dxa"/>
            <w:vAlign w:val="center"/>
          </w:tcPr>
          <w:p w14:paraId="71AEDE94" w14:textId="77777777" w:rsidR="00D43F39" w:rsidRDefault="00D43F39" w:rsidP="00DA1414">
            <w:pPr>
              <w:spacing w:before="360" w:after="0"/>
              <w:rPr>
                <w:b w:val="0"/>
                <w:iCs/>
                <w:szCs w:val="18"/>
              </w:rPr>
            </w:pPr>
          </w:p>
        </w:tc>
        <w:tc>
          <w:tcPr>
            <w:tcW w:w="1603" w:type="dxa"/>
            <w:vAlign w:val="center"/>
          </w:tcPr>
          <w:p w14:paraId="5C9DC3EF" w14:textId="77777777" w:rsidR="00D43F39" w:rsidRDefault="00D43F3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PLR</w:t>
            </w:r>
          </w:p>
        </w:tc>
        <w:tc>
          <w:tcPr>
            <w:tcW w:w="1603" w:type="dxa"/>
            <w:vAlign w:val="center"/>
          </w:tcPr>
          <w:p w14:paraId="2B727E85" w14:textId="77777777" w:rsidR="00D43F39" w:rsidRDefault="00D43F3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11</w:t>
            </w:r>
          </w:p>
        </w:tc>
        <w:tc>
          <w:tcPr>
            <w:tcW w:w="1604" w:type="dxa"/>
            <w:vAlign w:val="center"/>
          </w:tcPr>
          <w:p w14:paraId="626C6DDC" w14:textId="77777777" w:rsidR="00D43F39" w:rsidRDefault="00D43F3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6</w:t>
            </w:r>
          </w:p>
        </w:tc>
        <w:tc>
          <w:tcPr>
            <w:tcW w:w="1604" w:type="dxa"/>
            <w:vAlign w:val="center"/>
          </w:tcPr>
          <w:p w14:paraId="74BF7DF1" w14:textId="77777777" w:rsidR="00D43F39" w:rsidRDefault="00D43F3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0.8364</w:t>
            </w:r>
          </w:p>
        </w:tc>
        <w:tc>
          <w:tcPr>
            <w:tcW w:w="1604" w:type="dxa"/>
            <w:vAlign w:val="center"/>
          </w:tcPr>
          <w:p w14:paraId="714F6B67" w14:textId="77777777" w:rsidR="00D43F39" w:rsidRDefault="00D43F3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0.009738</w:t>
            </w:r>
          </w:p>
        </w:tc>
      </w:tr>
    </w:tbl>
    <w:p w14:paraId="0A937445" w14:textId="58E39DA9" w:rsidR="00D54196" w:rsidRDefault="00646687" w:rsidP="00CA40CA">
      <w:r>
        <w:t>Note. N= Number of individuals</w:t>
      </w:r>
    </w:p>
    <w:p w14:paraId="12129AA4" w14:textId="61AD6CA9" w:rsidR="00CA40CA" w:rsidRDefault="00CA40CA" w:rsidP="00FD3734">
      <w:pPr>
        <w:pStyle w:val="Heading3"/>
      </w:pPr>
      <w:bookmarkStart w:id="12" w:name="_Toc225146215"/>
      <w:r>
        <w:lastRenderedPageBreak/>
        <w:t>COI diversity</w:t>
      </w:r>
      <w:bookmarkEnd w:id="12"/>
    </w:p>
    <w:p w14:paraId="50D2B261" w14:textId="3597E979" w:rsidR="00CA40CA" w:rsidRDefault="00CA40CA" w:rsidP="00CA40CA">
      <w:r>
        <w:t>Across 49 COI sequences, nine haplotypes were detected. Haplotype diversity (</w:t>
      </w:r>
      <w:proofErr w:type="spellStart"/>
      <w:r>
        <w:t>Hd</w:t>
      </w:r>
      <w:proofErr w:type="spellEnd"/>
      <w:r>
        <w:t>) ranged from 0.2000 in CC to 0.7857 in BMF. Nucleotide diversity (π) ranged from 0.000331 in CC to 0.006789 in BMF. At the population level, haplotype richness ranged from 2 (CC and PLR) to 5 (BMF).</w:t>
      </w:r>
    </w:p>
    <w:p w14:paraId="5832EB6A" w14:textId="5A5C18F9" w:rsidR="00CA40CA" w:rsidRDefault="00CA40CA" w:rsidP="00FD3734">
      <w:pPr>
        <w:pStyle w:val="Heading3"/>
      </w:pPr>
      <w:bookmarkStart w:id="13" w:name="_Toc225146216"/>
      <w:r>
        <w:t>H3 diversity</w:t>
      </w:r>
      <w:bookmarkEnd w:id="13"/>
    </w:p>
    <w:p w14:paraId="073E3C5C" w14:textId="0DFB8B79" w:rsidR="00F26834" w:rsidRDefault="00CA40CA" w:rsidP="00CA40CA">
      <w:r>
        <w:t>Across 59 H3 sequences, 11 haplotypes were detected. Haplotype diversity (</w:t>
      </w:r>
      <w:proofErr w:type="spellStart"/>
      <w:r>
        <w:t>Hd</w:t>
      </w:r>
      <w:proofErr w:type="spellEnd"/>
      <w:r>
        <w:t>) ranged from 0.2000 in AP to 0.8364 in PLR. Nucleotide diversity (π) ranged from 0.003390 in AP to 0.009738 in PLR. At the population level, haplotype richness ranged from 2 (AP) to 6 (PLR).</w:t>
      </w:r>
    </w:p>
    <w:p w14:paraId="5DD4174B" w14:textId="77993944" w:rsidR="00D54196" w:rsidRDefault="009B0AE1" w:rsidP="009B0AE1">
      <w:pPr>
        <w:pStyle w:val="Heading2"/>
      </w:pPr>
      <w:bookmarkStart w:id="14" w:name="_Toc225146217"/>
      <w:r>
        <w:lastRenderedPageBreak/>
        <w:t>Haplotype structure</w:t>
      </w:r>
      <w:bookmarkEnd w:id="14"/>
    </w:p>
    <w:p w14:paraId="5D274F76" w14:textId="61A1A207" w:rsidR="00515977" w:rsidRDefault="00515977" w:rsidP="00FD3734">
      <w:pPr>
        <w:pStyle w:val="Heading3"/>
      </w:pPr>
      <w:bookmarkStart w:id="15" w:name="_Toc225146218"/>
      <w:r>
        <w:t>COI haplotype network</w:t>
      </w:r>
      <w:bookmarkEnd w:id="15"/>
    </w:p>
    <w:p w14:paraId="4777F407" w14:textId="7184B977" w:rsidR="00515977" w:rsidRDefault="00515977" w:rsidP="00515977">
      <w:r>
        <w:t>The COI haplotype network identified nine haplotypes arranged around a single dominant central haplotype shared among multiple populations (Figure 2)</w:t>
      </w:r>
      <w:r>
        <w:rPr>
          <w:noProof/>
        </w:rPr>
        <w:drawing>
          <wp:inline distT="0" distB="0" distL="0" distR="0" wp14:anchorId="74EE0B12" wp14:editId="2C4EC66F">
            <wp:extent cx="4610100" cy="4688238"/>
            <wp:effectExtent l="0" t="0" r="0" b="0"/>
            <wp:docPr id="2143490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8306" t="9357" r="23090" b="13579"/>
                    <a:stretch>
                      <a:fillRect/>
                    </a:stretch>
                  </pic:blipFill>
                  <pic:spPr bwMode="auto">
                    <a:xfrm>
                      <a:off x="0" y="0"/>
                      <a:ext cx="4644296" cy="4723013"/>
                    </a:xfrm>
                    <a:prstGeom prst="rect">
                      <a:avLst/>
                    </a:prstGeom>
                    <a:noFill/>
                    <a:ln>
                      <a:noFill/>
                    </a:ln>
                    <a:extLst>
                      <a:ext uri="{53640926-AAD7-44D8-BBD7-CCE9431645EC}">
                        <a14:shadowObscured xmlns:a14="http://schemas.microsoft.com/office/drawing/2010/main"/>
                      </a:ext>
                    </a:extLst>
                  </pic:spPr>
                </pic:pic>
              </a:graphicData>
            </a:graphic>
          </wp:inline>
        </w:drawing>
      </w:r>
    </w:p>
    <w:p w14:paraId="37CCA134" w14:textId="0D32EFB3" w:rsidR="00515977" w:rsidRDefault="00136165" w:rsidP="006D7ADD">
      <w:pPr>
        <w:pStyle w:val="Caption"/>
      </w:pPr>
      <w:r>
        <w:t>Figure 2 COI Haplotype network</w:t>
      </w:r>
    </w:p>
    <w:p w14:paraId="64DBD83A" w14:textId="4B314A67" w:rsidR="00515977" w:rsidRDefault="00515977" w:rsidP="00515977">
      <w:r>
        <w:t>This central haplotype was represented by individuals from all six sampling locations. Several lower-frequency haplotypes radiated from the central haplotype and were separated by one to multiple mutational steps. A subset of haplotypes occurred exclusively within single populations, indicating the presence of population-specific variants. Peripheral haplotypes were represented by fewer individuals than the central haplotype.</w:t>
      </w:r>
    </w:p>
    <w:p w14:paraId="0A6D4471" w14:textId="038F2E80" w:rsidR="00515977" w:rsidRDefault="00515977" w:rsidP="00FD3734">
      <w:pPr>
        <w:pStyle w:val="Heading3"/>
      </w:pPr>
      <w:bookmarkStart w:id="16" w:name="_Toc225146219"/>
      <w:r>
        <w:lastRenderedPageBreak/>
        <w:t>H3 haplotype network</w:t>
      </w:r>
      <w:bookmarkEnd w:id="16"/>
    </w:p>
    <w:p w14:paraId="04CDC0E1" w14:textId="5912A187" w:rsidR="00136165" w:rsidRDefault="00515977" w:rsidP="00515977">
      <w:r>
        <w:t xml:space="preserve">The H3 haplotype network comprised 11 haplotypes, forming a more interconnected network (Figure 3). </w:t>
      </w:r>
    </w:p>
    <w:p w14:paraId="49AFBF35" w14:textId="58AECB92" w:rsidR="00136165" w:rsidRDefault="00484548" w:rsidP="00515977">
      <w:r>
        <w:rPr>
          <w:noProof/>
        </w:rPr>
        <w:drawing>
          <wp:inline distT="0" distB="0" distL="0" distR="0" wp14:anchorId="68B62608" wp14:editId="1514C3F8">
            <wp:extent cx="5676900" cy="4518660"/>
            <wp:effectExtent l="0" t="0" r="0" b="0"/>
            <wp:docPr id="19960633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76900" cy="4518660"/>
                    </a:xfrm>
                    <a:prstGeom prst="rect">
                      <a:avLst/>
                    </a:prstGeom>
                    <a:noFill/>
                    <a:ln>
                      <a:noFill/>
                    </a:ln>
                  </pic:spPr>
                </pic:pic>
              </a:graphicData>
            </a:graphic>
          </wp:inline>
        </w:drawing>
      </w:r>
    </w:p>
    <w:p w14:paraId="2DB127E6" w14:textId="78535DAE" w:rsidR="006D7ADD" w:rsidRDefault="006D7ADD" w:rsidP="006D7ADD">
      <w:pPr>
        <w:pStyle w:val="Caption"/>
      </w:pPr>
      <w:r>
        <w:t>Figure 3 H3 Haplotype network</w:t>
      </w:r>
    </w:p>
    <w:p w14:paraId="5816DAF3" w14:textId="62FBBC58" w:rsidR="00DB6AE9" w:rsidRDefault="00515977" w:rsidP="00515977">
      <w:r>
        <w:t>Multiple haplotypes were shared among populations, and several intermediate haplotypes connected major nodes via single mutational steps. Compared with the COI network, haplotypes were more evenly distributed among populations, and long mutational branches were less common. No single haplotype dominated across all populations.</w:t>
      </w:r>
    </w:p>
    <w:p w14:paraId="47415B6D" w14:textId="77777777" w:rsidR="002F0221" w:rsidRPr="002F0221" w:rsidRDefault="002F0221" w:rsidP="00FD3734">
      <w:pPr>
        <w:pStyle w:val="Heading3"/>
      </w:pPr>
      <w:bookmarkStart w:id="17" w:name="_Toc225146220"/>
      <w:r>
        <w:t>Geographic distribution of haplotypes</w:t>
      </w:r>
      <w:bookmarkEnd w:id="17"/>
    </w:p>
    <w:p w14:paraId="315D416F" w14:textId="558D4A62" w:rsidR="002F0221" w:rsidRPr="002F0221" w:rsidRDefault="002F0221" w:rsidP="002F0221">
      <w:r>
        <w:t>Geographic visualisation of haplotype frequencies revealed spatial variation in haplotype composition among sampling locations for both genetic markers.</w:t>
      </w:r>
    </w:p>
    <w:p w14:paraId="61A41B2F" w14:textId="53EA51B2" w:rsidR="002F0221" w:rsidRDefault="002F0221" w:rsidP="002F0221">
      <w:r>
        <w:lastRenderedPageBreak/>
        <w:t>For COI, populations differed in relative haplotype frequencies, with several haplotypes occurring at single locations while others were shared among multiple sites (Figure 4)</w:t>
      </w:r>
    </w:p>
    <w:p w14:paraId="51A505C1" w14:textId="18DE60EB" w:rsidR="002F0221" w:rsidRDefault="00E25AF6" w:rsidP="002F0221">
      <w:r>
        <w:rPr>
          <w:noProof/>
        </w:rPr>
        <w:drawing>
          <wp:inline distT="0" distB="0" distL="0" distR="0" wp14:anchorId="587F3633" wp14:editId="1DA957A5">
            <wp:extent cx="5983357" cy="4800600"/>
            <wp:effectExtent l="0" t="0" r="0" b="0"/>
            <wp:docPr id="29720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t="8576" b="8576"/>
                    <a:stretch>
                      <a:fillRect/>
                    </a:stretch>
                  </pic:blipFill>
                  <pic:spPr bwMode="auto">
                    <a:xfrm>
                      <a:off x="0" y="0"/>
                      <a:ext cx="5985788" cy="4802551"/>
                    </a:xfrm>
                    <a:prstGeom prst="rect">
                      <a:avLst/>
                    </a:prstGeom>
                    <a:noFill/>
                    <a:ln>
                      <a:noFill/>
                    </a:ln>
                    <a:extLst>
                      <a:ext uri="{53640926-AAD7-44D8-BBD7-CCE9431645EC}">
                        <a14:shadowObscured xmlns:a14="http://schemas.microsoft.com/office/drawing/2010/main"/>
                      </a:ext>
                    </a:extLst>
                  </pic:spPr>
                </pic:pic>
              </a:graphicData>
            </a:graphic>
          </wp:inline>
        </w:drawing>
      </w:r>
    </w:p>
    <w:p w14:paraId="7BBD7484" w14:textId="7A3CE38E" w:rsidR="005B6528" w:rsidRPr="005B6528" w:rsidRDefault="00E25AF6" w:rsidP="005E51FB">
      <w:pPr>
        <w:pStyle w:val="Caption"/>
      </w:pPr>
      <w:r>
        <w:t>Figure 4 Geographical distribution of COI haplotypes</w:t>
      </w:r>
    </w:p>
    <w:p w14:paraId="6FB3CE6F" w14:textId="6C307F25" w:rsidR="002F0221" w:rsidRDefault="002F0221" w:rsidP="002F0221">
      <w:r>
        <w:t>For H3, haplotypes were broadly distributed across populations, with multiple sites containing mixtures of haplotypes rather than single dominant variants (Figure 5).</w:t>
      </w:r>
    </w:p>
    <w:p w14:paraId="17506B88" w14:textId="5260490F" w:rsidR="002F0221" w:rsidRDefault="007D49DA" w:rsidP="002F0221">
      <w:r>
        <w:rPr>
          <w:noProof/>
        </w:rPr>
        <w:lastRenderedPageBreak/>
        <w:drawing>
          <wp:inline distT="0" distB="0" distL="0" distR="0" wp14:anchorId="30F62F6B" wp14:editId="115B76D1">
            <wp:extent cx="5913967" cy="4838700"/>
            <wp:effectExtent l="0" t="0" r="0" b="0"/>
            <wp:docPr id="2223917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a:extLst>
                        <a:ext uri="{28A0092B-C50C-407E-A947-70E740481C1C}">
                          <a14:useLocalDpi xmlns:a14="http://schemas.microsoft.com/office/drawing/2010/main" val="0"/>
                        </a:ext>
                      </a:extLst>
                    </a:blip>
                    <a:srcRect t="7231" r="1329" b="7055"/>
                    <a:stretch>
                      <a:fillRect/>
                    </a:stretch>
                  </pic:blipFill>
                  <pic:spPr bwMode="auto">
                    <a:xfrm>
                      <a:off x="0" y="0"/>
                      <a:ext cx="5915465" cy="4839926"/>
                    </a:xfrm>
                    <a:prstGeom prst="rect">
                      <a:avLst/>
                    </a:prstGeom>
                    <a:noFill/>
                    <a:ln>
                      <a:noFill/>
                    </a:ln>
                    <a:extLst>
                      <a:ext uri="{53640926-AAD7-44D8-BBD7-CCE9431645EC}">
                        <a14:shadowObscured xmlns:a14="http://schemas.microsoft.com/office/drawing/2010/main"/>
                      </a:ext>
                    </a:extLst>
                  </pic:spPr>
                </pic:pic>
              </a:graphicData>
            </a:graphic>
          </wp:inline>
        </w:drawing>
      </w:r>
    </w:p>
    <w:p w14:paraId="0ADBDF98" w14:textId="0F542273" w:rsidR="006D7ADD" w:rsidRDefault="006D7ADD" w:rsidP="006D7ADD">
      <w:pPr>
        <w:pStyle w:val="Caption"/>
      </w:pPr>
      <w:r>
        <w:t>Figure 5 Geographical distribution of H3 haplotypes</w:t>
      </w:r>
    </w:p>
    <w:p w14:paraId="6D54BE70" w14:textId="77777777" w:rsidR="00DB6AE9" w:rsidRDefault="00DB6AE9" w:rsidP="00DB6AE9"/>
    <w:p w14:paraId="06442369" w14:textId="77777777" w:rsidR="00DB6AE9" w:rsidRDefault="00DB6AE9" w:rsidP="00DB6AE9"/>
    <w:p w14:paraId="026C1D65" w14:textId="77777777" w:rsidR="00DB6AE9" w:rsidRDefault="00DB6AE9" w:rsidP="00DB6AE9"/>
    <w:p w14:paraId="72C0F4F6" w14:textId="77777777" w:rsidR="00DB6AE9" w:rsidRDefault="00DB6AE9" w:rsidP="00DB6AE9"/>
    <w:p w14:paraId="45989985" w14:textId="77777777" w:rsidR="00DB6AE9" w:rsidRPr="00DB6AE9" w:rsidRDefault="00DB6AE9" w:rsidP="00DB6AE9"/>
    <w:p w14:paraId="0852ACC5" w14:textId="0E98FAFB" w:rsidR="006C1BC4" w:rsidRDefault="00FB7570" w:rsidP="00FB7570">
      <w:pPr>
        <w:pStyle w:val="Heading2"/>
      </w:pPr>
      <w:bookmarkStart w:id="18" w:name="_Toc225146221"/>
      <w:r>
        <w:lastRenderedPageBreak/>
        <w:t>Population structure</w:t>
      </w:r>
      <w:bookmarkEnd w:id="18"/>
    </w:p>
    <w:p w14:paraId="58C77552" w14:textId="77777777" w:rsidR="00473762" w:rsidRPr="00473762" w:rsidRDefault="00473762" w:rsidP="00FD3734">
      <w:pPr>
        <w:pStyle w:val="Heading3"/>
      </w:pPr>
      <w:bookmarkStart w:id="19" w:name="_Toc225146222"/>
      <w:r>
        <w:t>Analysis of Molecular Variance (AMOVA)</w:t>
      </w:r>
      <w:bookmarkEnd w:id="19"/>
    </w:p>
    <w:p w14:paraId="76ECBD34" w14:textId="3CA3E1A6" w:rsidR="00473762" w:rsidRDefault="00473762" w:rsidP="00473762">
      <w:r>
        <w:t>Analysis of molecular variance revealed significant genetic structure among populations for both genetic markers (Table 3).</w:t>
      </w:r>
    </w:p>
    <w:p w14:paraId="62207BBC" w14:textId="72342FB7" w:rsidR="009A6C64" w:rsidRDefault="009A6C64" w:rsidP="004E7C33">
      <w:pPr>
        <w:pStyle w:val="Caption"/>
      </w:pPr>
      <w:r>
        <w:t>Table 3 AMOVA results</w:t>
      </w:r>
    </w:p>
    <w:tbl>
      <w:tblPr>
        <w:tblStyle w:val="TableStyle4"/>
        <w:tblW w:w="0" w:type="auto"/>
        <w:tblLook w:val="04A0" w:firstRow="1" w:lastRow="0" w:firstColumn="1" w:lastColumn="0" w:noHBand="0" w:noVBand="1"/>
      </w:tblPr>
      <w:tblGrid>
        <w:gridCol w:w="1468"/>
        <w:gridCol w:w="1555"/>
        <w:gridCol w:w="1628"/>
        <w:gridCol w:w="1526"/>
        <w:gridCol w:w="1402"/>
        <w:gridCol w:w="1437"/>
      </w:tblGrid>
      <w:tr w:rsidR="009A6C64" w14:paraId="495BEB69" w14:textId="77777777" w:rsidTr="00DA14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3" w:type="dxa"/>
            <w:vAlign w:val="center"/>
          </w:tcPr>
          <w:p w14:paraId="0EFE8A58" w14:textId="77777777" w:rsidR="009A6C64" w:rsidRDefault="009A6C64" w:rsidP="00DA1414">
            <w:pPr>
              <w:spacing w:before="360" w:after="0"/>
              <w:rPr>
                <w:b w:val="0"/>
                <w:iCs/>
                <w:szCs w:val="18"/>
              </w:rPr>
            </w:pPr>
            <w:r>
              <w:rPr>
                <w:b w:val="0"/>
                <w:bCs/>
              </w:rPr>
              <w:t>Marker</w:t>
            </w:r>
          </w:p>
        </w:tc>
        <w:tc>
          <w:tcPr>
            <w:tcW w:w="1603" w:type="dxa"/>
            <w:vAlign w:val="center"/>
          </w:tcPr>
          <w:p w14:paraId="560E0FDC" w14:textId="77777777" w:rsidR="009A6C64" w:rsidRDefault="009A6C64" w:rsidP="00DA1414">
            <w:pPr>
              <w:spacing w:before="360" w:after="0"/>
              <w:cnfStyle w:val="100000000000" w:firstRow="1" w:lastRow="0" w:firstColumn="0" w:lastColumn="0" w:oddVBand="0" w:evenVBand="0" w:oddHBand="0" w:evenHBand="0" w:firstRowFirstColumn="0" w:firstRowLastColumn="0" w:lastRowFirstColumn="0" w:lastRowLastColumn="0"/>
              <w:rPr>
                <w:b w:val="0"/>
                <w:iCs/>
                <w:szCs w:val="18"/>
              </w:rPr>
            </w:pPr>
            <w:r>
              <w:rPr>
                <w:b w:val="0"/>
                <w:bCs/>
              </w:rPr>
              <w:t>Source</w:t>
            </w:r>
          </w:p>
        </w:tc>
        <w:tc>
          <w:tcPr>
            <w:tcW w:w="1603" w:type="dxa"/>
            <w:vAlign w:val="center"/>
          </w:tcPr>
          <w:p w14:paraId="7483461B" w14:textId="77777777" w:rsidR="009A6C64" w:rsidRDefault="009A6C64" w:rsidP="00DA1414">
            <w:pPr>
              <w:spacing w:before="360" w:after="0"/>
              <w:cnfStyle w:val="100000000000" w:firstRow="1" w:lastRow="0" w:firstColumn="0" w:lastColumn="0" w:oddVBand="0" w:evenVBand="0" w:oddHBand="0" w:evenHBand="0" w:firstRowFirstColumn="0" w:firstRowLastColumn="0" w:lastRowFirstColumn="0" w:lastRowLastColumn="0"/>
              <w:rPr>
                <w:b w:val="0"/>
                <w:iCs/>
                <w:szCs w:val="18"/>
              </w:rPr>
            </w:pPr>
            <w:r>
              <w:rPr>
                <w:b w:val="0"/>
                <w:bCs/>
              </w:rPr>
              <w:t>Variance Component</w:t>
            </w:r>
          </w:p>
        </w:tc>
        <w:tc>
          <w:tcPr>
            <w:tcW w:w="1604" w:type="dxa"/>
            <w:vAlign w:val="center"/>
          </w:tcPr>
          <w:p w14:paraId="6B257C2E" w14:textId="77777777" w:rsidR="009A6C64" w:rsidRDefault="009A6C64" w:rsidP="00DA1414">
            <w:pPr>
              <w:spacing w:before="360" w:after="0"/>
              <w:cnfStyle w:val="100000000000" w:firstRow="1" w:lastRow="0" w:firstColumn="0" w:lastColumn="0" w:oddVBand="0" w:evenVBand="0" w:oddHBand="0" w:evenHBand="0" w:firstRowFirstColumn="0" w:firstRowLastColumn="0" w:lastRowFirstColumn="0" w:lastRowLastColumn="0"/>
              <w:rPr>
                <w:b w:val="0"/>
                <w:iCs/>
                <w:szCs w:val="18"/>
              </w:rPr>
            </w:pPr>
            <w:r>
              <w:rPr>
                <w:b w:val="0"/>
                <w:bCs/>
              </w:rPr>
              <w:t>% Variation</w:t>
            </w:r>
          </w:p>
        </w:tc>
        <w:tc>
          <w:tcPr>
            <w:tcW w:w="1604" w:type="dxa"/>
            <w:vAlign w:val="center"/>
          </w:tcPr>
          <w:p w14:paraId="1819F304" w14:textId="77777777" w:rsidR="009A6C64" w:rsidRDefault="009A6C64" w:rsidP="00DA1414">
            <w:pPr>
              <w:spacing w:before="360" w:after="0"/>
              <w:cnfStyle w:val="100000000000" w:firstRow="1" w:lastRow="0" w:firstColumn="0" w:lastColumn="0" w:oddVBand="0" w:evenVBand="0" w:oddHBand="0" w:evenHBand="0" w:firstRowFirstColumn="0" w:firstRowLastColumn="0" w:lastRowFirstColumn="0" w:lastRowLastColumn="0"/>
              <w:rPr>
                <w:b w:val="0"/>
                <w:iCs/>
                <w:szCs w:val="18"/>
              </w:rPr>
            </w:pPr>
            <w:r>
              <w:rPr>
                <w:b w:val="0"/>
                <w:bCs/>
              </w:rPr>
              <w:t>ΦST</w:t>
            </w:r>
          </w:p>
        </w:tc>
        <w:tc>
          <w:tcPr>
            <w:tcW w:w="1604" w:type="dxa"/>
            <w:vAlign w:val="center"/>
          </w:tcPr>
          <w:p w14:paraId="368C8F22" w14:textId="77777777" w:rsidR="009A6C64" w:rsidRDefault="009A6C64" w:rsidP="00DA1414">
            <w:pPr>
              <w:spacing w:before="360" w:after="0"/>
              <w:cnfStyle w:val="100000000000" w:firstRow="1" w:lastRow="0" w:firstColumn="0" w:lastColumn="0" w:oddVBand="0" w:evenVBand="0" w:oddHBand="0" w:evenHBand="0" w:firstRowFirstColumn="0" w:firstRowLastColumn="0" w:lastRowFirstColumn="0" w:lastRowLastColumn="0"/>
              <w:rPr>
                <w:b w:val="0"/>
                <w:iCs/>
                <w:szCs w:val="18"/>
              </w:rPr>
            </w:pPr>
            <w:r>
              <w:rPr>
                <w:b w:val="0"/>
                <w:bCs/>
              </w:rPr>
              <w:t>p-value</w:t>
            </w:r>
          </w:p>
        </w:tc>
      </w:tr>
      <w:tr w:rsidR="009A6C64" w14:paraId="051B3A11" w14:textId="77777777" w:rsidTr="00DA1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3" w:type="dxa"/>
            <w:vAlign w:val="center"/>
          </w:tcPr>
          <w:p w14:paraId="6662EFBD" w14:textId="77777777" w:rsidR="009A6C64" w:rsidRDefault="009A6C64" w:rsidP="00DA1414">
            <w:pPr>
              <w:spacing w:before="360" w:after="0"/>
              <w:rPr>
                <w:b w:val="0"/>
                <w:iCs/>
                <w:szCs w:val="18"/>
              </w:rPr>
            </w:pPr>
            <w:r>
              <w:t>COI</w:t>
            </w:r>
          </w:p>
        </w:tc>
        <w:tc>
          <w:tcPr>
            <w:tcW w:w="1603" w:type="dxa"/>
            <w:vAlign w:val="center"/>
          </w:tcPr>
          <w:p w14:paraId="7C940245" w14:textId="77777777" w:rsidR="009A6C64" w:rsidRDefault="009A6C64"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Among populations</w:t>
            </w:r>
          </w:p>
        </w:tc>
        <w:tc>
          <w:tcPr>
            <w:tcW w:w="1603" w:type="dxa"/>
            <w:vAlign w:val="center"/>
          </w:tcPr>
          <w:p w14:paraId="5527FE63" w14:textId="77777777" w:rsidR="009A6C64" w:rsidRDefault="009A6C64"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1.19 ×10</w:t>
            </w:r>
            <w:r>
              <w:rPr>
                <w:rFonts w:ascii="Cambria Math" w:hAnsi="Cambria Math" w:cs="Cambria Math"/>
              </w:rPr>
              <w:t>⁻</w:t>
            </w:r>
            <w:r>
              <w:rPr>
                <w:rFonts w:cs="Arial"/>
              </w:rPr>
              <w:t>⁵</w:t>
            </w:r>
          </w:p>
        </w:tc>
        <w:tc>
          <w:tcPr>
            <w:tcW w:w="1604" w:type="dxa"/>
            <w:vAlign w:val="center"/>
          </w:tcPr>
          <w:p w14:paraId="7A56F666" w14:textId="77777777" w:rsidR="009A6C64" w:rsidRDefault="009A6C64"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53.0%</w:t>
            </w:r>
          </w:p>
        </w:tc>
        <w:tc>
          <w:tcPr>
            <w:tcW w:w="1604" w:type="dxa"/>
            <w:vAlign w:val="center"/>
          </w:tcPr>
          <w:p w14:paraId="7537B078" w14:textId="77777777" w:rsidR="009A6C64" w:rsidRDefault="009A6C64"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0.530</w:t>
            </w:r>
          </w:p>
        </w:tc>
        <w:tc>
          <w:tcPr>
            <w:tcW w:w="1604" w:type="dxa"/>
            <w:vAlign w:val="center"/>
          </w:tcPr>
          <w:p w14:paraId="7479F0E3" w14:textId="77777777" w:rsidR="009A6C64" w:rsidRDefault="009A6C64"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&lt;0.001</w:t>
            </w:r>
          </w:p>
        </w:tc>
      </w:tr>
      <w:tr w:rsidR="009A6C64" w14:paraId="6BCEF31E" w14:textId="77777777" w:rsidTr="00DA1414">
        <w:tc>
          <w:tcPr>
            <w:cnfStyle w:val="001000000000" w:firstRow="0" w:lastRow="0" w:firstColumn="1" w:lastColumn="0" w:oddVBand="0" w:evenVBand="0" w:oddHBand="0" w:evenHBand="0" w:firstRowFirstColumn="0" w:firstRowLastColumn="0" w:lastRowFirstColumn="0" w:lastRowLastColumn="0"/>
            <w:tcW w:w="1603" w:type="dxa"/>
            <w:vAlign w:val="center"/>
          </w:tcPr>
          <w:p w14:paraId="008F4C90" w14:textId="77777777" w:rsidR="009A6C64" w:rsidRDefault="009A6C64" w:rsidP="00DA1414">
            <w:pPr>
              <w:spacing w:before="360" w:after="0"/>
              <w:rPr>
                <w:b w:val="0"/>
                <w:iCs/>
                <w:szCs w:val="18"/>
              </w:rPr>
            </w:pPr>
          </w:p>
        </w:tc>
        <w:tc>
          <w:tcPr>
            <w:tcW w:w="1603" w:type="dxa"/>
            <w:vAlign w:val="center"/>
          </w:tcPr>
          <w:p w14:paraId="1478CE23" w14:textId="77777777" w:rsidR="009A6C64" w:rsidRDefault="009A6C64"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Within populations</w:t>
            </w:r>
          </w:p>
        </w:tc>
        <w:tc>
          <w:tcPr>
            <w:tcW w:w="1603" w:type="dxa"/>
            <w:vAlign w:val="center"/>
          </w:tcPr>
          <w:p w14:paraId="7988D36E" w14:textId="77777777" w:rsidR="009A6C64" w:rsidRDefault="009A6C64"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1.06 ×10</w:t>
            </w:r>
            <w:r>
              <w:rPr>
                <w:rFonts w:ascii="Cambria Math" w:hAnsi="Cambria Math" w:cs="Cambria Math"/>
              </w:rPr>
              <w:t>⁻</w:t>
            </w:r>
            <w:r>
              <w:rPr>
                <w:rFonts w:cs="Arial"/>
              </w:rPr>
              <w:t>⁵</w:t>
            </w:r>
          </w:p>
        </w:tc>
        <w:tc>
          <w:tcPr>
            <w:tcW w:w="1604" w:type="dxa"/>
            <w:vAlign w:val="center"/>
          </w:tcPr>
          <w:p w14:paraId="11240994" w14:textId="77777777" w:rsidR="009A6C64" w:rsidRDefault="009A6C64"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47.0%</w:t>
            </w:r>
          </w:p>
        </w:tc>
        <w:tc>
          <w:tcPr>
            <w:tcW w:w="1604" w:type="dxa"/>
            <w:vAlign w:val="center"/>
          </w:tcPr>
          <w:p w14:paraId="2E903022" w14:textId="77777777" w:rsidR="009A6C64" w:rsidRDefault="009A6C64"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p>
        </w:tc>
        <w:tc>
          <w:tcPr>
            <w:tcW w:w="1604" w:type="dxa"/>
            <w:vAlign w:val="center"/>
          </w:tcPr>
          <w:p w14:paraId="6C93591F" w14:textId="77777777" w:rsidR="009A6C64" w:rsidRDefault="009A6C64"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p>
        </w:tc>
      </w:tr>
      <w:tr w:rsidR="009A6C64" w14:paraId="69D11A22" w14:textId="77777777" w:rsidTr="00DA1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3" w:type="dxa"/>
            <w:vAlign w:val="center"/>
          </w:tcPr>
          <w:p w14:paraId="7D51C5A6" w14:textId="77777777" w:rsidR="009A6C64" w:rsidRDefault="009A6C64" w:rsidP="00DA1414">
            <w:pPr>
              <w:spacing w:before="360" w:after="0"/>
              <w:rPr>
                <w:b w:val="0"/>
                <w:iCs/>
                <w:szCs w:val="18"/>
              </w:rPr>
            </w:pPr>
            <w:r>
              <w:t>H3</w:t>
            </w:r>
          </w:p>
        </w:tc>
        <w:tc>
          <w:tcPr>
            <w:tcW w:w="1603" w:type="dxa"/>
            <w:vAlign w:val="center"/>
          </w:tcPr>
          <w:p w14:paraId="451865F8" w14:textId="77777777" w:rsidR="009A6C64" w:rsidRDefault="009A6C64"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Among populations</w:t>
            </w:r>
          </w:p>
        </w:tc>
        <w:tc>
          <w:tcPr>
            <w:tcW w:w="1603" w:type="dxa"/>
            <w:vAlign w:val="center"/>
          </w:tcPr>
          <w:p w14:paraId="540CADE3" w14:textId="77777777" w:rsidR="009A6C64" w:rsidRDefault="009A6C64"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2.63 ×10</w:t>
            </w:r>
            <w:r>
              <w:rPr>
                <w:rFonts w:ascii="Cambria Math" w:hAnsi="Cambria Math" w:cs="Cambria Math"/>
              </w:rPr>
              <w:t>⁻</w:t>
            </w:r>
            <w:r>
              <w:rPr>
                <w:rFonts w:cs="Arial"/>
              </w:rPr>
              <w:t>⁵</w:t>
            </w:r>
          </w:p>
        </w:tc>
        <w:tc>
          <w:tcPr>
            <w:tcW w:w="1604" w:type="dxa"/>
            <w:vAlign w:val="center"/>
          </w:tcPr>
          <w:p w14:paraId="0577D2A8" w14:textId="77777777" w:rsidR="009A6C64" w:rsidRDefault="009A6C64"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37.1%</w:t>
            </w:r>
          </w:p>
        </w:tc>
        <w:tc>
          <w:tcPr>
            <w:tcW w:w="1604" w:type="dxa"/>
            <w:vAlign w:val="center"/>
          </w:tcPr>
          <w:p w14:paraId="60D92DCD" w14:textId="77777777" w:rsidR="009A6C64" w:rsidRDefault="009A6C64"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0.371</w:t>
            </w:r>
          </w:p>
        </w:tc>
        <w:tc>
          <w:tcPr>
            <w:tcW w:w="1604" w:type="dxa"/>
            <w:vAlign w:val="center"/>
          </w:tcPr>
          <w:p w14:paraId="06BF0936" w14:textId="77777777" w:rsidR="009A6C64" w:rsidRDefault="009A6C64"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&lt;0.001</w:t>
            </w:r>
          </w:p>
        </w:tc>
      </w:tr>
      <w:tr w:rsidR="009A6C64" w14:paraId="40DB0B7A" w14:textId="77777777" w:rsidTr="00DA1414">
        <w:tc>
          <w:tcPr>
            <w:cnfStyle w:val="001000000000" w:firstRow="0" w:lastRow="0" w:firstColumn="1" w:lastColumn="0" w:oddVBand="0" w:evenVBand="0" w:oddHBand="0" w:evenHBand="0" w:firstRowFirstColumn="0" w:firstRowLastColumn="0" w:lastRowFirstColumn="0" w:lastRowLastColumn="0"/>
            <w:tcW w:w="1603" w:type="dxa"/>
            <w:vAlign w:val="center"/>
          </w:tcPr>
          <w:p w14:paraId="15E46910" w14:textId="77777777" w:rsidR="009A6C64" w:rsidRDefault="009A6C64" w:rsidP="00DA1414">
            <w:pPr>
              <w:spacing w:before="360" w:after="0"/>
              <w:rPr>
                <w:b w:val="0"/>
                <w:iCs/>
                <w:szCs w:val="18"/>
              </w:rPr>
            </w:pPr>
          </w:p>
        </w:tc>
        <w:tc>
          <w:tcPr>
            <w:tcW w:w="1603" w:type="dxa"/>
            <w:vAlign w:val="center"/>
          </w:tcPr>
          <w:p w14:paraId="769F5510" w14:textId="77777777" w:rsidR="009A6C64" w:rsidRDefault="009A6C64"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Within populations</w:t>
            </w:r>
          </w:p>
        </w:tc>
        <w:tc>
          <w:tcPr>
            <w:tcW w:w="1603" w:type="dxa"/>
            <w:vAlign w:val="center"/>
          </w:tcPr>
          <w:p w14:paraId="598F473D" w14:textId="77777777" w:rsidR="009A6C64" w:rsidRDefault="009A6C64"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4.47 ×10</w:t>
            </w:r>
            <w:r>
              <w:rPr>
                <w:rFonts w:ascii="Cambria Math" w:hAnsi="Cambria Math" w:cs="Cambria Math"/>
              </w:rPr>
              <w:t>⁻</w:t>
            </w:r>
            <w:r>
              <w:rPr>
                <w:rFonts w:cs="Arial"/>
              </w:rPr>
              <w:t>⁵</w:t>
            </w:r>
          </w:p>
        </w:tc>
        <w:tc>
          <w:tcPr>
            <w:tcW w:w="1604" w:type="dxa"/>
            <w:vAlign w:val="center"/>
          </w:tcPr>
          <w:p w14:paraId="68ACD5E2" w14:textId="77777777" w:rsidR="009A6C64" w:rsidRDefault="009A6C64"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62.9%</w:t>
            </w:r>
          </w:p>
        </w:tc>
        <w:tc>
          <w:tcPr>
            <w:tcW w:w="1604" w:type="dxa"/>
            <w:vAlign w:val="center"/>
          </w:tcPr>
          <w:p w14:paraId="4996406D" w14:textId="77777777" w:rsidR="009A6C64" w:rsidRDefault="009A6C64"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p>
        </w:tc>
        <w:tc>
          <w:tcPr>
            <w:tcW w:w="1604" w:type="dxa"/>
            <w:vAlign w:val="center"/>
          </w:tcPr>
          <w:p w14:paraId="24328312" w14:textId="77777777" w:rsidR="009A6C64" w:rsidRDefault="009A6C64"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p>
        </w:tc>
      </w:tr>
    </w:tbl>
    <w:p w14:paraId="73235BBD" w14:textId="77777777" w:rsidR="00473762" w:rsidRPr="00473762" w:rsidRDefault="00473762" w:rsidP="00473762">
      <w:r>
        <w:t xml:space="preserve">For the COI dataset, 53.0% of total genetic variation was attributed to differences among populations (Φ_ST = 0.530, </w:t>
      </w:r>
      <w:r>
        <w:rPr>
          <w:i/>
          <w:iCs/>
        </w:rPr>
        <w:t>p</w:t>
      </w:r>
      <w:r>
        <w:t xml:space="preserve"> &lt; 0.001), with the remaining 47.0% occurring within populations.</w:t>
      </w:r>
    </w:p>
    <w:p w14:paraId="2E835893" w14:textId="77777777" w:rsidR="00473762" w:rsidRDefault="00473762" w:rsidP="00473762">
      <w:r>
        <w:t xml:space="preserve">For the H3 dataset, 37.1% of genetic variation occurred among populations (Φ_ST = 0.371, </w:t>
      </w:r>
      <w:r>
        <w:rPr>
          <w:i/>
          <w:iCs/>
        </w:rPr>
        <w:t>p</w:t>
      </w:r>
      <w:r>
        <w:t xml:space="preserve"> &lt; 0.001), while 62.9% was distributed within populations.</w:t>
      </w:r>
    </w:p>
    <w:p w14:paraId="4668509C" w14:textId="77777777" w:rsidR="00DB6AE9" w:rsidRDefault="00DB6AE9" w:rsidP="00473762"/>
    <w:p w14:paraId="555798AE" w14:textId="77777777" w:rsidR="00DB6AE9" w:rsidRDefault="00DB6AE9" w:rsidP="00473762"/>
    <w:p w14:paraId="55CC44F8" w14:textId="77777777" w:rsidR="00DB6AE9" w:rsidRDefault="00DB6AE9" w:rsidP="00473762"/>
    <w:p w14:paraId="525FE69B" w14:textId="77777777" w:rsidR="00DB6AE9" w:rsidRDefault="00DB6AE9" w:rsidP="00473762"/>
    <w:p w14:paraId="6619FF28" w14:textId="77777777" w:rsidR="00DB6AE9" w:rsidRDefault="00DB6AE9" w:rsidP="00473762"/>
    <w:p w14:paraId="7FDD38DD" w14:textId="77777777" w:rsidR="000F0862" w:rsidRPr="000F0862" w:rsidRDefault="000F0862" w:rsidP="00FD3734">
      <w:pPr>
        <w:pStyle w:val="Heading3"/>
      </w:pPr>
      <w:bookmarkStart w:id="20" w:name="_Toc225146223"/>
      <w:r>
        <w:lastRenderedPageBreak/>
        <w:t>Discriminant Analysis of Principal Components (DAPC)</w:t>
      </w:r>
      <w:bookmarkEnd w:id="20"/>
    </w:p>
    <w:p w14:paraId="64DB616E" w14:textId="0F4B14CB" w:rsidR="000F0862" w:rsidRPr="000F0862" w:rsidRDefault="000F0862" w:rsidP="000F0862">
      <w:r>
        <w:t>Discriminant Analysis of Principal Components was used to visualise genetic clustering among populations.</w:t>
      </w:r>
    </w:p>
    <w:p w14:paraId="4F35AF92" w14:textId="567749C0" w:rsidR="000F0862" w:rsidRDefault="000F0862" w:rsidP="000F0862">
      <w:r>
        <w:t xml:space="preserve">For the COI dataset, individuals formed a strongly separated cluster along discriminant function 1, with one population (BMF) clearly differentiated from the remaining populations, which showed substantial overlap (Figure </w:t>
      </w:r>
      <w:r w:rsidR="005E51FB">
        <w:t>6</w:t>
      </w:r>
      <w:r>
        <w:t>).</w:t>
      </w:r>
    </w:p>
    <w:p w14:paraId="3B94B8F1" w14:textId="74EFB230" w:rsidR="000F0862" w:rsidRDefault="00DE048C" w:rsidP="000F0862">
      <w:r>
        <w:rPr>
          <w:noProof/>
        </w:rPr>
        <w:drawing>
          <wp:inline distT="0" distB="0" distL="0" distR="0" wp14:anchorId="21433807" wp14:editId="77048E63">
            <wp:extent cx="5495925" cy="4517591"/>
            <wp:effectExtent l="0" t="0" r="0" b="0"/>
            <wp:docPr id="19510557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a:extLst>
                        <a:ext uri="{28A0092B-C50C-407E-A947-70E740481C1C}">
                          <a14:useLocalDpi xmlns:a14="http://schemas.microsoft.com/office/drawing/2010/main" val="0"/>
                        </a:ext>
                      </a:extLst>
                    </a:blip>
                    <a:srcRect t="10516" b="2584"/>
                    <a:stretch>
                      <a:fillRect/>
                    </a:stretch>
                  </pic:blipFill>
                  <pic:spPr bwMode="auto">
                    <a:xfrm>
                      <a:off x="0" y="0"/>
                      <a:ext cx="5508636" cy="4528039"/>
                    </a:xfrm>
                    <a:prstGeom prst="rect">
                      <a:avLst/>
                    </a:prstGeom>
                    <a:noFill/>
                    <a:ln>
                      <a:noFill/>
                    </a:ln>
                    <a:extLst>
                      <a:ext uri="{53640926-AAD7-44D8-BBD7-CCE9431645EC}">
                        <a14:shadowObscured xmlns:a14="http://schemas.microsoft.com/office/drawing/2010/main"/>
                      </a:ext>
                    </a:extLst>
                  </pic:spPr>
                </pic:pic>
              </a:graphicData>
            </a:graphic>
          </wp:inline>
        </w:drawing>
      </w:r>
    </w:p>
    <w:p w14:paraId="760BC6B8" w14:textId="111935A9" w:rsidR="00DE048C" w:rsidRDefault="00DE048C" w:rsidP="006D7ADD">
      <w:pPr>
        <w:pStyle w:val="Caption"/>
      </w:pPr>
      <w:r>
        <w:t xml:space="preserve">Figure </w:t>
      </w:r>
      <w:r w:rsidR="005E51FB">
        <w:t>6</w:t>
      </w:r>
      <w:r>
        <w:t xml:space="preserve"> DAPC analysis of COI</w:t>
      </w:r>
    </w:p>
    <w:p w14:paraId="5BE603B4" w14:textId="77777777" w:rsidR="00DB6AE9" w:rsidRDefault="00DB6AE9" w:rsidP="00DB6AE9"/>
    <w:p w14:paraId="1B6E9467" w14:textId="77777777" w:rsidR="00DB6AE9" w:rsidRDefault="00DB6AE9" w:rsidP="00DB6AE9"/>
    <w:p w14:paraId="3DB16C86" w14:textId="77777777" w:rsidR="00DB6AE9" w:rsidRDefault="00DB6AE9" w:rsidP="00DB6AE9"/>
    <w:p w14:paraId="59558EEB" w14:textId="77777777" w:rsidR="00DB6AE9" w:rsidRDefault="00DB6AE9" w:rsidP="00DB6AE9"/>
    <w:p w14:paraId="6246A3EB" w14:textId="77777777" w:rsidR="00DB6AE9" w:rsidRPr="00DB6AE9" w:rsidRDefault="00DB6AE9" w:rsidP="00DB6AE9"/>
    <w:p w14:paraId="7C83C63C" w14:textId="340142D4" w:rsidR="00DE048C" w:rsidRDefault="000F0862" w:rsidP="00473762">
      <w:r>
        <w:lastRenderedPageBreak/>
        <w:t xml:space="preserve">For the H3 dataset, clustering was less distinct. Multiple populations showed partial overlap along the first discriminant axis, and separation among groups was reduced compared with that observed with the COI marker (Figure </w:t>
      </w:r>
      <w:r w:rsidR="005E51FB">
        <w:t>7</w:t>
      </w:r>
      <w:r>
        <w:t>).</w:t>
      </w:r>
    </w:p>
    <w:p w14:paraId="522BD5D2" w14:textId="3E9E6645" w:rsidR="004E7C33" w:rsidRPr="00473762" w:rsidRDefault="00DE048C" w:rsidP="00473762">
      <w:r>
        <w:rPr>
          <w:noProof/>
        </w:rPr>
        <w:drawing>
          <wp:inline distT="0" distB="0" distL="0" distR="0" wp14:anchorId="54DEB747" wp14:editId="60D43865">
            <wp:extent cx="5457825" cy="4448175"/>
            <wp:effectExtent l="0" t="0" r="9525" b="9525"/>
            <wp:docPr id="19455451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a:extLst>
                        <a:ext uri="{28A0092B-C50C-407E-A947-70E740481C1C}">
                          <a14:useLocalDpi xmlns:a14="http://schemas.microsoft.com/office/drawing/2010/main" val="0"/>
                        </a:ext>
                      </a:extLst>
                    </a:blip>
                    <a:srcRect t="11623" b="2214"/>
                    <a:stretch>
                      <a:fillRect/>
                    </a:stretch>
                  </pic:blipFill>
                  <pic:spPr bwMode="auto">
                    <a:xfrm>
                      <a:off x="0" y="0"/>
                      <a:ext cx="5457825" cy="4448175"/>
                    </a:xfrm>
                    <a:prstGeom prst="rect">
                      <a:avLst/>
                    </a:prstGeom>
                    <a:noFill/>
                    <a:ln>
                      <a:noFill/>
                    </a:ln>
                    <a:extLst>
                      <a:ext uri="{53640926-AAD7-44D8-BBD7-CCE9431645EC}">
                        <a14:shadowObscured xmlns:a14="http://schemas.microsoft.com/office/drawing/2010/main"/>
                      </a:ext>
                    </a:extLst>
                  </pic:spPr>
                </pic:pic>
              </a:graphicData>
            </a:graphic>
          </wp:inline>
        </w:drawing>
      </w:r>
    </w:p>
    <w:p w14:paraId="611DFD83" w14:textId="16F324BF" w:rsidR="00FB7570" w:rsidRDefault="00DE048C" w:rsidP="006D7ADD">
      <w:pPr>
        <w:pStyle w:val="Caption"/>
      </w:pPr>
      <w:r>
        <w:t xml:space="preserve">Figure </w:t>
      </w:r>
      <w:r w:rsidR="005E51FB">
        <w:t>7</w:t>
      </w:r>
      <w:r>
        <w:t xml:space="preserve"> DAPC analysis of H3</w:t>
      </w:r>
    </w:p>
    <w:p w14:paraId="0F89DB7E" w14:textId="77777777" w:rsidR="00DB6AE9" w:rsidRPr="00DB6AE9" w:rsidRDefault="00DB6AE9" w:rsidP="00DB6AE9"/>
    <w:p w14:paraId="44124A69" w14:textId="2B7F540C" w:rsidR="00DE048C" w:rsidRDefault="00B30593" w:rsidP="00FD3734">
      <w:pPr>
        <w:pStyle w:val="Heading3"/>
      </w:pPr>
      <w:bookmarkStart w:id="21" w:name="_Toc225146224"/>
      <w:r>
        <w:t>Genetic differentiation</w:t>
      </w:r>
      <w:bookmarkEnd w:id="21"/>
      <w:r>
        <w:t xml:space="preserve"> </w:t>
      </w:r>
    </w:p>
    <w:p w14:paraId="7E069625" w14:textId="0D4D760F" w:rsidR="008A26D6" w:rsidRDefault="008A26D6" w:rsidP="008A26D6">
      <w:r>
        <w:t>Pairwise genetic differentiation among populations was assessed using F_ST estimates for both COI and H3 markers.</w:t>
      </w:r>
    </w:p>
    <w:p w14:paraId="67F87885" w14:textId="7E1FDB32" w:rsidR="008A26D6" w:rsidRDefault="008A26D6" w:rsidP="008A26D6">
      <w:pPr>
        <w:pStyle w:val="Heading4"/>
      </w:pPr>
      <w:r>
        <w:t>COI</w:t>
      </w:r>
    </w:p>
    <w:p w14:paraId="6FD23F42" w14:textId="5DEAF6F5" w:rsidR="008A26D6" w:rsidRDefault="008A26D6" w:rsidP="008A26D6">
      <w:r>
        <w:t>Pairwise F_ST values for COI (Table 4) were generally low among most population comparisons, with values close to zero or slightly negative. One population (BMF) showed greater differentiation than the other populations, with pairwise F_ST values ranging from 0.061 to 0.088. All remaining pairwise comparisons ranged between −0.004 and 0.010.</w:t>
      </w:r>
    </w:p>
    <w:p w14:paraId="43F7B8ED" w14:textId="05530ED4" w:rsidR="009E0EB4" w:rsidRDefault="009E0EB4" w:rsidP="00E31D58">
      <w:pPr>
        <w:pStyle w:val="Caption"/>
      </w:pPr>
      <w:r>
        <w:lastRenderedPageBreak/>
        <w:t>Table 4 Pairwise FST values for COI</w:t>
      </w:r>
    </w:p>
    <w:tbl>
      <w:tblPr>
        <w:tblStyle w:val="TableStyle4"/>
        <w:tblW w:w="0" w:type="auto"/>
        <w:tblLook w:val="04A0" w:firstRow="1" w:lastRow="0" w:firstColumn="1" w:lastColumn="0" w:noHBand="0" w:noVBand="1"/>
      </w:tblPr>
      <w:tblGrid>
        <w:gridCol w:w="1283"/>
        <w:gridCol w:w="1264"/>
        <w:gridCol w:w="1294"/>
        <w:gridCol w:w="1293"/>
        <w:gridCol w:w="1294"/>
        <w:gridCol w:w="1294"/>
        <w:gridCol w:w="1294"/>
      </w:tblGrid>
      <w:tr w:rsidR="009E0EB4" w14:paraId="4E19533D" w14:textId="77777777" w:rsidTr="00DA14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4" w:type="dxa"/>
          </w:tcPr>
          <w:p w14:paraId="05DE567B" w14:textId="77777777" w:rsidR="009E0EB4" w:rsidRDefault="009E0EB4" w:rsidP="00DA1414">
            <w:pPr>
              <w:spacing w:before="360" w:after="0"/>
              <w:rPr>
                <w:b w:val="0"/>
                <w:iCs/>
                <w:szCs w:val="18"/>
              </w:rPr>
            </w:pPr>
          </w:p>
        </w:tc>
        <w:tc>
          <w:tcPr>
            <w:tcW w:w="1374" w:type="dxa"/>
          </w:tcPr>
          <w:p w14:paraId="3DA866E7" w14:textId="77777777" w:rsidR="009E0EB4" w:rsidRDefault="009E0EB4" w:rsidP="00DA1414">
            <w:pPr>
              <w:spacing w:before="360" w:after="0"/>
              <w:cnfStyle w:val="100000000000" w:firstRow="1" w:lastRow="0" w:firstColumn="0" w:lastColumn="0" w:oddVBand="0" w:evenVBand="0" w:oddHBand="0" w:evenHBand="0" w:firstRowFirstColumn="0" w:firstRowLastColumn="0" w:lastRowFirstColumn="0" w:lastRowLastColumn="0"/>
              <w:rPr>
                <w:b w:val="0"/>
                <w:iCs/>
                <w:szCs w:val="18"/>
              </w:rPr>
            </w:pPr>
            <w:r>
              <w:t>AP</w:t>
            </w:r>
          </w:p>
        </w:tc>
        <w:tc>
          <w:tcPr>
            <w:tcW w:w="1374" w:type="dxa"/>
          </w:tcPr>
          <w:p w14:paraId="00808AEE" w14:textId="77777777" w:rsidR="009E0EB4" w:rsidRDefault="009E0EB4" w:rsidP="00DA1414">
            <w:pPr>
              <w:spacing w:before="360" w:after="0"/>
              <w:cnfStyle w:val="100000000000" w:firstRow="1" w:lastRow="0" w:firstColumn="0" w:lastColumn="0" w:oddVBand="0" w:evenVBand="0" w:oddHBand="0" w:evenHBand="0" w:firstRowFirstColumn="0" w:firstRowLastColumn="0" w:lastRowFirstColumn="0" w:lastRowLastColumn="0"/>
              <w:rPr>
                <w:b w:val="0"/>
                <w:iCs/>
                <w:szCs w:val="18"/>
              </w:rPr>
            </w:pPr>
            <w:r>
              <w:t>BMF</w:t>
            </w:r>
          </w:p>
        </w:tc>
        <w:tc>
          <w:tcPr>
            <w:tcW w:w="1374" w:type="dxa"/>
          </w:tcPr>
          <w:p w14:paraId="5E5E8C39" w14:textId="77777777" w:rsidR="009E0EB4" w:rsidRDefault="009E0EB4" w:rsidP="00DA1414">
            <w:pPr>
              <w:spacing w:before="360" w:after="0"/>
              <w:cnfStyle w:val="100000000000" w:firstRow="1" w:lastRow="0" w:firstColumn="0" w:lastColumn="0" w:oddVBand="0" w:evenVBand="0" w:oddHBand="0" w:evenHBand="0" w:firstRowFirstColumn="0" w:firstRowLastColumn="0" w:lastRowFirstColumn="0" w:lastRowLastColumn="0"/>
              <w:rPr>
                <w:b w:val="0"/>
                <w:iCs/>
                <w:szCs w:val="18"/>
              </w:rPr>
            </w:pPr>
            <w:r>
              <w:t>CC</w:t>
            </w:r>
          </w:p>
        </w:tc>
        <w:tc>
          <w:tcPr>
            <w:tcW w:w="1375" w:type="dxa"/>
          </w:tcPr>
          <w:p w14:paraId="6C3656A6" w14:textId="77777777" w:rsidR="009E0EB4" w:rsidRDefault="009E0EB4" w:rsidP="00DA1414">
            <w:pPr>
              <w:spacing w:before="360" w:after="0"/>
              <w:cnfStyle w:val="100000000000" w:firstRow="1" w:lastRow="0" w:firstColumn="0" w:lastColumn="0" w:oddVBand="0" w:evenVBand="0" w:oddHBand="0" w:evenHBand="0" w:firstRowFirstColumn="0" w:firstRowLastColumn="0" w:lastRowFirstColumn="0" w:lastRowLastColumn="0"/>
              <w:rPr>
                <w:b w:val="0"/>
                <w:iCs/>
                <w:szCs w:val="18"/>
              </w:rPr>
            </w:pPr>
            <w:r>
              <w:t>CV</w:t>
            </w:r>
          </w:p>
        </w:tc>
        <w:tc>
          <w:tcPr>
            <w:tcW w:w="1375" w:type="dxa"/>
          </w:tcPr>
          <w:p w14:paraId="7BA711D7" w14:textId="77777777" w:rsidR="009E0EB4" w:rsidRDefault="009E0EB4" w:rsidP="00DA1414">
            <w:pPr>
              <w:spacing w:before="360" w:after="0"/>
              <w:cnfStyle w:val="100000000000" w:firstRow="1" w:lastRow="0" w:firstColumn="0" w:lastColumn="0" w:oddVBand="0" w:evenVBand="0" w:oddHBand="0" w:evenHBand="0" w:firstRowFirstColumn="0" w:firstRowLastColumn="0" w:lastRowFirstColumn="0" w:lastRowLastColumn="0"/>
              <w:rPr>
                <w:b w:val="0"/>
                <w:iCs/>
                <w:szCs w:val="18"/>
              </w:rPr>
            </w:pPr>
            <w:r>
              <w:t>EB</w:t>
            </w:r>
          </w:p>
        </w:tc>
        <w:tc>
          <w:tcPr>
            <w:tcW w:w="1375" w:type="dxa"/>
          </w:tcPr>
          <w:p w14:paraId="536468E7" w14:textId="77777777" w:rsidR="009E0EB4" w:rsidRDefault="009E0EB4" w:rsidP="00DA1414">
            <w:pPr>
              <w:spacing w:before="360" w:after="0"/>
              <w:cnfStyle w:val="100000000000" w:firstRow="1" w:lastRow="0" w:firstColumn="0" w:lastColumn="0" w:oddVBand="0" w:evenVBand="0" w:oddHBand="0" w:evenHBand="0" w:firstRowFirstColumn="0" w:firstRowLastColumn="0" w:lastRowFirstColumn="0" w:lastRowLastColumn="0"/>
              <w:rPr>
                <w:b w:val="0"/>
                <w:iCs/>
                <w:szCs w:val="18"/>
              </w:rPr>
            </w:pPr>
            <w:r>
              <w:t>PLR</w:t>
            </w:r>
          </w:p>
        </w:tc>
      </w:tr>
      <w:tr w:rsidR="009E0EB4" w14:paraId="4082F0DE" w14:textId="77777777" w:rsidTr="00DA1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4" w:type="dxa"/>
          </w:tcPr>
          <w:p w14:paraId="3C9B2586" w14:textId="77777777" w:rsidR="009E0EB4" w:rsidRDefault="009E0EB4" w:rsidP="00DA1414">
            <w:pPr>
              <w:spacing w:before="360" w:after="0"/>
              <w:rPr>
                <w:b w:val="0"/>
                <w:iCs/>
                <w:szCs w:val="18"/>
              </w:rPr>
            </w:pPr>
            <w:r>
              <w:t>AP</w:t>
            </w:r>
          </w:p>
        </w:tc>
        <w:tc>
          <w:tcPr>
            <w:tcW w:w="1374" w:type="dxa"/>
          </w:tcPr>
          <w:p w14:paraId="26FB61C5" w14:textId="77777777" w:rsidR="009E0EB4" w:rsidRDefault="009E0EB4"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w:t>
            </w:r>
          </w:p>
        </w:tc>
        <w:tc>
          <w:tcPr>
            <w:tcW w:w="1374" w:type="dxa"/>
          </w:tcPr>
          <w:p w14:paraId="14E27F1D" w14:textId="77777777" w:rsidR="009E0EB4" w:rsidRDefault="009E0EB4"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0.081</w:t>
            </w:r>
          </w:p>
        </w:tc>
        <w:tc>
          <w:tcPr>
            <w:tcW w:w="1374" w:type="dxa"/>
          </w:tcPr>
          <w:p w14:paraId="50332605" w14:textId="77777777" w:rsidR="009E0EB4" w:rsidRDefault="009E0EB4"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0.001</w:t>
            </w:r>
          </w:p>
        </w:tc>
        <w:tc>
          <w:tcPr>
            <w:tcW w:w="1375" w:type="dxa"/>
          </w:tcPr>
          <w:p w14:paraId="55466748" w14:textId="77777777" w:rsidR="009E0EB4" w:rsidRDefault="009E0EB4"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-0.004</w:t>
            </w:r>
          </w:p>
        </w:tc>
        <w:tc>
          <w:tcPr>
            <w:tcW w:w="1375" w:type="dxa"/>
          </w:tcPr>
          <w:p w14:paraId="08F50A5A" w14:textId="77777777" w:rsidR="009E0EB4" w:rsidRDefault="009E0EB4"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-0.001</w:t>
            </w:r>
          </w:p>
        </w:tc>
        <w:tc>
          <w:tcPr>
            <w:tcW w:w="1375" w:type="dxa"/>
          </w:tcPr>
          <w:p w14:paraId="3B9AE654" w14:textId="77777777" w:rsidR="009E0EB4" w:rsidRDefault="009E0EB4"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0.002</w:t>
            </w:r>
          </w:p>
        </w:tc>
      </w:tr>
      <w:tr w:rsidR="009E0EB4" w14:paraId="20C132F4" w14:textId="77777777" w:rsidTr="00DA1414">
        <w:tc>
          <w:tcPr>
            <w:cnfStyle w:val="001000000000" w:firstRow="0" w:lastRow="0" w:firstColumn="1" w:lastColumn="0" w:oddVBand="0" w:evenVBand="0" w:oddHBand="0" w:evenHBand="0" w:firstRowFirstColumn="0" w:firstRowLastColumn="0" w:lastRowFirstColumn="0" w:lastRowLastColumn="0"/>
            <w:tcW w:w="1374" w:type="dxa"/>
          </w:tcPr>
          <w:p w14:paraId="7A5F5201" w14:textId="77777777" w:rsidR="009E0EB4" w:rsidRDefault="009E0EB4" w:rsidP="00DA1414">
            <w:pPr>
              <w:spacing w:before="360" w:after="0"/>
              <w:rPr>
                <w:b w:val="0"/>
                <w:iCs/>
                <w:szCs w:val="18"/>
              </w:rPr>
            </w:pPr>
            <w:r>
              <w:t>BMF</w:t>
            </w:r>
          </w:p>
        </w:tc>
        <w:tc>
          <w:tcPr>
            <w:tcW w:w="1374" w:type="dxa"/>
          </w:tcPr>
          <w:p w14:paraId="35D9FD01" w14:textId="77777777" w:rsidR="009E0EB4" w:rsidRDefault="009E0EB4"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p>
        </w:tc>
        <w:tc>
          <w:tcPr>
            <w:tcW w:w="1374" w:type="dxa"/>
          </w:tcPr>
          <w:p w14:paraId="06CBE6F5" w14:textId="77777777" w:rsidR="009E0EB4" w:rsidRDefault="009E0EB4"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w:t>
            </w:r>
          </w:p>
        </w:tc>
        <w:tc>
          <w:tcPr>
            <w:tcW w:w="1374" w:type="dxa"/>
          </w:tcPr>
          <w:p w14:paraId="57680571" w14:textId="77777777" w:rsidR="009E0EB4" w:rsidRDefault="009E0EB4"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0.088</w:t>
            </w:r>
          </w:p>
        </w:tc>
        <w:tc>
          <w:tcPr>
            <w:tcW w:w="1375" w:type="dxa"/>
          </w:tcPr>
          <w:p w14:paraId="4CA5A1FB" w14:textId="77777777" w:rsidR="009E0EB4" w:rsidRDefault="009E0EB4"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0.080</w:t>
            </w:r>
          </w:p>
        </w:tc>
        <w:tc>
          <w:tcPr>
            <w:tcW w:w="1375" w:type="dxa"/>
          </w:tcPr>
          <w:p w14:paraId="09440389" w14:textId="77777777" w:rsidR="009E0EB4" w:rsidRDefault="009E0EB4"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0.088</w:t>
            </w:r>
          </w:p>
        </w:tc>
        <w:tc>
          <w:tcPr>
            <w:tcW w:w="1375" w:type="dxa"/>
          </w:tcPr>
          <w:p w14:paraId="11486116" w14:textId="77777777" w:rsidR="009E0EB4" w:rsidRDefault="009E0EB4"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0.061</w:t>
            </w:r>
          </w:p>
        </w:tc>
      </w:tr>
      <w:tr w:rsidR="009E0EB4" w14:paraId="10D9E2F1" w14:textId="77777777" w:rsidTr="00DA1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4" w:type="dxa"/>
          </w:tcPr>
          <w:p w14:paraId="2ECC89B1" w14:textId="77777777" w:rsidR="009E0EB4" w:rsidRDefault="009E0EB4" w:rsidP="00DA1414">
            <w:pPr>
              <w:spacing w:before="360" w:after="0"/>
              <w:rPr>
                <w:b w:val="0"/>
                <w:iCs/>
                <w:szCs w:val="18"/>
              </w:rPr>
            </w:pPr>
            <w:r>
              <w:t>CC</w:t>
            </w:r>
          </w:p>
        </w:tc>
        <w:tc>
          <w:tcPr>
            <w:tcW w:w="1374" w:type="dxa"/>
          </w:tcPr>
          <w:p w14:paraId="77CB16FA" w14:textId="77777777" w:rsidR="009E0EB4" w:rsidRDefault="009E0EB4"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p>
        </w:tc>
        <w:tc>
          <w:tcPr>
            <w:tcW w:w="1374" w:type="dxa"/>
          </w:tcPr>
          <w:p w14:paraId="453D6031" w14:textId="77777777" w:rsidR="009E0EB4" w:rsidRDefault="009E0EB4"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p>
        </w:tc>
        <w:tc>
          <w:tcPr>
            <w:tcW w:w="1374" w:type="dxa"/>
          </w:tcPr>
          <w:p w14:paraId="5EA01CE1" w14:textId="77777777" w:rsidR="009E0EB4" w:rsidRDefault="009E0EB4"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w:t>
            </w:r>
          </w:p>
        </w:tc>
        <w:tc>
          <w:tcPr>
            <w:tcW w:w="1375" w:type="dxa"/>
          </w:tcPr>
          <w:p w14:paraId="3F80BEDA" w14:textId="77777777" w:rsidR="009E0EB4" w:rsidRDefault="009E0EB4"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0.001</w:t>
            </w:r>
          </w:p>
        </w:tc>
        <w:tc>
          <w:tcPr>
            <w:tcW w:w="1375" w:type="dxa"/>
          </w:tcPr>
          <w:p w14:paraId="4926863D" w14:textId="77777777" w:rsidR="009E0EB4" w:rsidRDefault="009E0EB4"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0.007</w:t>
            </w:r>
          </w:p>
        </w:tc>
        <w:tc>
          <w:tcPr>
            <w:tcW w:w="1375" w:type="dxa"/>
          </w:tcPr>
          <w:p w14:paraId="65F8B237" w14:textId="77777777" w:rsidR="009E0EB4" w:rsidRDefault="009E0EB4"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0.000</w:t>
            </w:r>
          </w:p>
        </w:tc>
      </w:tr>
      <w:tr w:rsidR="009E0EB4" w14:paraId="30322ABF" w14:textId="77777777" w:rsidTr="00DA1414">
        <w:tc>
          <w:tcPr>
            <w:cnfStyle w:val="001000000000" w:firstRow="0" w:lastRow="0" w:firstColumn="1" w:lastColumn="0" w:oddVBand="0" w:evenVBand="0" w:oddHBand="0" w:evenHBand="0" w:firstRowFirstColumn="0" w:firstRowLastColumn="0" w:lastRowFirstColumn="0" w:lastRowLastColumn="0"/>
            <w:tcW w:w="1374" w:type="dxa"/>
          </w:tcPr>
          <w:p w14:paraId="11E3EDCD" w14:textId="77777777" w:rsidR="009E0EB4" w:rsidRDefault="009E0EB4" w:rsidP="00DA1414">
            <w:pPr>
              <w:spacing w:before="360" w:after="0"/>
              <w:rPr>
                <w:b w:val="0"/>
                <w:iCs/>
                <w:szCs w:val="18"/>
              </w:rPr>
            </w:pPr>
            <w:r>
              <w:t>CV</w:t>
            </w:r>
          </w:p>
        </w:tc>
        <w:tc>
          <w:tcPr>
            <w:tcW w:w="1374" w:type="dxa"/>
          </w:tcPr>
          <w:p w14:paraId="7026986D" w14:textId="77777777" w:rsidR="009E0EB4" w:rsidRDefault="009E0EB4"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p>
        </w:tc>
        <w:tc>
          <w:tcPr>
            <w:tcW w:w="1374" w:type="dxa"/>
          </w:tcPr>
          <w:p w14:paraId="13B28E54" w14:textId="77777777" w:rsidR="009E0EB4" w:rsidRDefault="009E0EB4"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p>
        </w:tc>
        <w:tc>
          <w:tcPr>
            <w:tcW w:w="1374" w:type="dxa"/>
          </w:tcPr>
          <w:p w14:paraId="440AE264" w14:textId="77777777" w:rsidR="009E0EB4" w:rsidRDefault="009E0EB4"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p>
        </w:tc>
        <w:tc>
          <w:tcPr>
            <w:tcW w:w="1375" w:type="dxa"/>
          </w:tcPr>
          <w:p w14:paraId="709BE0CE" w14:textId="77777777" w:rsidR="009E0EB4" w:rsidRDefault="009E0EB4"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w:t>
            </w:r>
          </w:p>
        </w:tc>
        <w:tc>
          <w:tcPr>
            <w:tcW w:w="1375" w:type="dxa"/>
          </w:tcPr>
          <w:p w14:paraId="270C2DCE" w14:textId="77777777" w:rsidR="009E0EB4" w:rsidRDefault="009E0EB4"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0.001</w:t>
            </w:r>
          </w:p>
        </w:tc>
        <w:tc>
          <w:tcPr>
            <w:tcW w:w="1375" w:type="dxa"/>
          </w:tcPr>
          <w:p w14:paraId="19461221" w14:textId="77777777" w:rsidR="009E0EB4" w:rsidRDefault="009E0EB4"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0.002</w:t>
            </w:r>
          </w:p>
        </w:tc>
      </w:tr>
      <w:tr w:rsidR="009E0EB4" w14:paraId="002F38BF" w14:textId="77777777" w:rsidTr="00DA1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4" w:type="dxa"/>
          </w:tcPr>
          <w:p w14:paraId="0F9EA20E" w14:textId="77777777" w:rsidR="009E0EB4" w:rsidRDefault="009E0EB4" w:rsidP="00DA1414">
            <w:pPr>
              <w:spacing w:before="360" w:after="0"/>
              <w:rPr>
                <w:b w:val="0"/>
                <w:iCs/>
                <w:szCs w:val="18"/>
              </w:rPr>
            </w:pPr>
            <w:r>
              <w:t>EB</w:t>
            </w:r>
          </w:p>
        </w:tc>
        <w:tc>
          <w:tcPr>
            <w:tcW w:w="1374" w:type="dxa"/>
          </w:tcPr>
          <w:p w14:paraId="53BB9D32" w14:textId="77777777" w:rsidR="009E0EB4" w:rsidRDefault="009E0EB4"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p>
        </w:tc>
        <w:tc>
          <w:tcPr>
            <w:tcW w:w="1374" w:type="dxa"/>
          </w:tcPr>
          <w:p w14:paraId="5F8A6426" w14:textId="77777777" w:rsidR="009E0EB4" w:rsidRDefault="009E0EB4"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p>
        </w:tc>
        <w:tc>
          <w:tcPr>
            <w:tcW w:w="1374" w:type="dxa"/>
          </w:tcPr>
          <w:p w14:paraId="5B30EF9A" w14:textId="77777777" w:rsidR="009E0EB4" w:rsidRDefault="009E0EB4"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p>
        </w:tc>
        <w:tc>
          <w:tcPr>
            <w:tcW w:w="1375" w:type="dxa"/>
          </w:tcPr>
          <w:p w14:paraId="7F64D310" w14:textId="77777777" w:rsidR="009E0EB4" w:rsidRDefault="009E0EB4"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p>
        </w:tc>
        <w:tc>
          <w:tcPr>
            <w:tcW w:w="1375" w:type="dxa"/>
          </w:tcPr>
          <w:p w14:paraId="5A021122" w14:textId="77777777" w:rsidR="009E0EB4" w:rsidRDefault="009E0EB4"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w:t>
            </w:r>
          </w:p>
        </w:tc>
        <w:tc>
          <w:tcPr>
            <w:tcW w:w="1375" w:type="dxa"/>
          </w:tcPr>
          <w:p w14:paraId="1C583D2A" w14:textId="77777777" w:rsidR="009E0EB4" w:rsidRDefault="009E0EB4"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0.010</w:t>
            </w:r>
          </w:p>
        </w:tc>
      </w:tr>
      <w:tr w:rsidR="009E0EB4" w14:paraId="50A753CD" w14:textId="77777777" w:rsidTr="00DA1414">
        <w:tc>
          <w:tcPr>
            <w:cnfStyle w:val="001000000000" w:firstRow="0" w:lastRow="0" w:firstColumn="1" w:lastColumn="0" w:oddVBand="0" w:evenVBand="0" w:oddHBand="0" w:evenHBand="0" w:firstRowFirstColumn="0" w:firstRowLastColumn="0" w:lastRowFirstColumn="0" w:lastRowLastColumn="0"/>
            <w:tcW w:w="1374" w:type="dxa"/>
          </w:tcPr>
          <w:p w14:paraId="2EA0AB9D" w14:textId="77777777" w:rsidR="009E0EB4" w:rsidRDefault="009E0EB4" w:rsidP="00DA1414">
            <w:pPr>
              <w:spacing w:before="360" w:after="0"/>
              <w:rPr>
                <w:b w:val="0"/>
                <w:iCs/>
                <w:szCs w:val="18"/>
              </w:rPr>
            </w:pPr>
            <w:r>
              <w:t>PLR</w:t>
            </w:r>
          </w:p>
        </w:tc>
        <w:tc>
          <w:tcPr>
            <w:tcW w:w="1374" w:type="dxa"/>
          </w:tcPr>
          <w:p w14:paraId="64E470AA" w14:textId="77777777" w:rsidR="009E0EB4" w:rsidRDefault="009E0EB4"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p>
        </w:tc>
        <w:tc>
          <w:tcPr>
            <w:tcW w:w="1374" w:type="dxa"/>
          </w:tcPr>
          <w:p w14:paraId="2AC30EB0" w14:textId="77777777" w:rsidR="009E0EB4" w:rsidRDefault="009E0EB4"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p>
        </w:tc>
        <w:tc>
          <w:tcPr>
            <w:tcW w:w="1374" w:type="dxa"/>
          </w:tcPr>
          <w:p w14:paraId="1817431E" w14:textId="77777777" w:rsidR="009E0EB4" w:rsidRDefault="009E0EB4"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p>
        </w:tc>
        <w:tc>
          <w:tcPr>
            <w:tcW w:w="1375" w:type="dxa"/>
          </w:tcPr>
          <w:p w14:paraId="4F768CD2" w14:textId="77777777" w:rsidR="009E0EB4" w:rsidRDefault="009E0EB4"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p>
        </w:tc>
        <w:tc>
          <w:tcPr>
            <w:tcW w:w="1375" w:type="dxa"/>
          </w:tcPr>
          <w:p w14:paraId="1205339A" w14:textId="77777777" w:rsidR="009E0EB4" w:rsidRDefault="009E0EB4"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p>
        </w:tc>
        <w:tc>
          <w:tcPr>
            <w:tcW w:w="1375" w:type="dxa"/>
          </w:tcPr>
          <w:p w14:paraId="6C995038" w14:textId="77777777" w:rsidR="009E0EB4" w:rsidRDefault="009E0EB4"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w:t>
            </w:r>
          </w:p>
        </w:tc>
      </w:tr>
    </w:tbl>
    <w:p w14:paraId="21A65A2E" w14:textId="77777777" w:rsidR="009E0EB4" w:rsidRDefault="009E0EB4" w:rsidP="008A26D6"/>
    <w:p w14:paraId="5D5766F1" w14:textId="2D01FC6E" w:rsidR="008A26D6" w:rsidRDefault="008A26D6" w:rsidP="008A26D6">
      <w:pPr>
        <w:pStyle w:val="Heading4"/>
      </w:pPr>
      <w:r>
        <w:t>H3</w:t>
      </w:r>
    </w:p>
    <w:p w14:paraId="6D41B824" w14:textId="17FDB6C1" w:rsidR="00B30593" w:rsidRDefault="008A26D6" w:rsidP="008A26D6">
      <w:r>
        <w:t>Pairwise F_ST values for H3 (Table 5) showed a wider range of differentiation among populations. Values ranged from −0.011 to 0.158, with several population pairs showing higher differentiation than others. The highest differentiation was observed between AP and BMF (F_ST = 0.158).</w:t>
      </w:r>
    </w:p>
    <w:p w14:paraId="3FA2EE16" w14:textId="3487FAEF" w:rsidR="00865149" w:rsidRPr="00B30593" w:rsidRDefault="00865149" w:rsidP="00FE32CF">
      <w:pPr>
        <w:pStyle w:val="Caption"/>
      </w:pPr>
      <w:r>
        <w:t>Table 5 Pairwise FST values for H3</w:t>
      </w:r>
    </w:p>
    <w:tbl>
      <w:tblPr>
        <w:tblStyle w:val="TableStyle4"/>
        <w:tblW w:w="0" w:type="auto"/>
        <w:tblLook w:val="04A0" w:firstRow="1" w:lastRow="0" w:firstColumn="1" w:lastColumn="0" w:noHBand="0" w:noVBand="1"/>
      </w:tblPr>
      <w:tblGrid>
        <w:gridCol w:w="1283"/>
        <w:gridCol w:w="1264"/>
        <w:gridCol w:w="1294"/>
        <w:gridCol w:w="1293"/>
        <w:gridCol w:w="1294"/>
        <w:gridCol w:w="1294"/>
        <w:gridCol w:w="1294"/>
      </w:tblGrid>
      <w:tr w:rsidR="00865149" w14:paraId="2EC4C372" w14:textId="77777777" w:rsidTr="007D1C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3" w:type="dxa"/>
          </w:tcPr>
          <w:p w14:paraId="1E78E3FB" w14:textId="77777777" w:rsidR="00865149" w:rsidRDefault="00865149" w:rsidP="00DA1414">
            <w:pPr>
              <w:spacing w:before="360" w:after="0"/>
              <w:rPr>
                <w:b w:val="0"/>
                <w:iCs/>
                <w:szCs w:val="18"/>
              </w:rPr>
            </w:pPr>
          </w:p>
        </w:tc>
        <w:tc>
          <w:tcPr>
            <w:tcW w:w="1264" w:type="dxa"/>
          </w:tcPr>
          <w:p w14:paraId="1ECED500" w14:textId="77777777" w:rsidR="00865149" w:rsidRDefault="00865149" w:rsidP="00DA1414">
            <w:pPr>
              <w:spacing w:before="360" w:after="0"/>
              <w:cnfStyle w:val="100000000000" w:firstRow="1" w:lastRow="0" w:firstColumn="0" w:lastColumn="0" w:oddVBand="0" w:evenVBand="0" w:oddHBand="0" w:evenHBand="0" w:firstRowFirstColumn="0" w:firstRowLastColumn="0" w:lastRowFirstColumn="0" w:lastRowLastColumn="0"/>
              <w:rPr>
                <w:b w:val="0"/>
                <w:iCs/>
                <w:szCs w:val="18"/>
              </w:rPr>
            </w:pPr>
            <w:r>
              <w:t>AP</w:t>
            </w:r>
          </w:p>
        </w:tc>
        <w:tc>
          <w:tcPr>
            <w:tcW w:w="1294" w:type="dxa"/>
          </w:tcPr>
          <w:p w14:paraId="7FCE190B" w14:textId="77777777" w:rsidR="00865149" w:rsidRDefault="00865149" w:rsidP="00DA1414">
            <w:pPr>
              <w:spacing w:before="360" w:after="0"/>
              <w:cnfStyle w:val="100000000000" w:firstRow="1" w:lastRow="0" w:firstColumn="0" w:lastColumn="0" w:oddVBand="0" w:evenVBand="0" w:oddHBand="0" w:evenHBand="0" w:firstRowFirstColumn="0" w:firstRowLastColumn="0" w:lastRowFirstColumn="0" w:lastRowLastColumn="0"/>
              <w:rPr>
                <w:b w:val="0"/>
                <w:iCs/>
                <w:szCs w:val="18"/>
              </w:rPr>
            </w:pPr>
            <w:r>
              <w:t>BMF</w:t>
            </w:r>
          </w:p>
        </w:tc>
        <w:tc>
          <w:tcPr>
            <w:tcW w:w="1293" w:type="dxa"/>
          </w:tcPr>
          <w:p w14:paraId="20A3B61B" w14:textId="77777777" w:rsidR="00865149" w:rsidRDefault="00865149" w:rsidP="00DA1414">
            <w:pPr>
              <w:spacing w:before="360" w:after="0"/>
              <w:cnfStyle w:val="100000000000" w:firstRow="1" w:lastRow="0" w:firstColumn="0" w:lastColumn="0" w:oddVBand="0" w:evenVBand="0" w:oddHBand="0" w:evenHBand="0" w:firstRowFirstColumn="0" w:firstRowLastColumn="0" w:lastRowFirstColumn="0" w:lastRowLastColumn="0"/>
              <w:rPr>
                <w:b w:val="0"/>
                <w:iCs/>
                <w:szCs w:val="18"/>
              </w:rPr>
            </w:pPr>
            <w:r>
              <w:t>CC</w:t>
            </w:r>
          </w:p>
        </w:tc>
        <w:tc>
          <w:tcPr>
            <w:tcW w:w="1294" w:type="dxa"/>
          </w:tcPr>
          <w:p w14:paraId="438DEE12" w14:textId="77777777" w:rsidR="00865149" w:rsidRDefault="00865149" w:rsidP="00DA1414">
            <w:pPr>
              <w:spacing w:before="360" w:after="0"/>
              <w:cnfStyle w:val="100000000000" w:firstRow="1" w:lastRow="0" w:firstColumn="0" w:lastColumn="0" w:oddVBand="0" w:evenVBand="0" w:oddHBand="0" w:evenHBand="0" w:firstRowFirstColumn="0" w:firstRowLastColumn="0" w:lastRowFirstColumn="0" w:lastRowLastColumn="0"/>
              <w:rPr>
                <w:b w:val="0"/>
                <w:iCs/>
                <w:szCs w:val="18"/>
              </w:rPr>
            </w:pPr>
            <w:r>
              <w:t>CV</w:t>
            </w:r>
          </w:p>
        </w:tc>
        <w:tc>
          <w:tcPr>
            <w:tcW w:w="1294" w:type="dxa"/>
          </w:tcPr>
          <w:p w14:paraId="36F2EE39" w14:textId="77777777" w:rsidR="00865149" w:rsidRDefault="00865149" w:rsidP="00DA1414">
            <w:pPr>
              <w:spacing w:before="360" w:after="0"/>
              <w:cnfStyle w:val="100000000000" w:firstRow="1" w:lastRow="0" w:firstColumn="0" w:lastColumn="0" w:oddVBand="0" w:evenVBand="0" w:oddHBand="0" w:evenHBand="0" w:firstRowFirstColumn="0" w:firstRowLastColumn="0" w:lastRowFirstColumn="0" w:lastRowLastColumn="0"/>
              <w:rPr>
                <w:b w:val="0"/>
                <w:iCs/>
                <w:szCs w:val="18"/>
              </w:rPr>
            </w:pPr>
            <w:r>
              <w:t>EB</w:t>
            </w:r>
          </w:p>
        </w:tc>
        <w:tc>
          <w:tcPr>
            <w:tcW w:w="1294" w:type="dxa"/>
          </w:tcPr>
          <w:p w14:paraId="20A9D7B3" w14:textId="77777777" w:rsidR="00865149" w:rsidRDefault="00865149" w:rsidP="00DA1414">
            <w:pPr>
              <w:spacing w:before="360" w:after="0"/>
              <w:cnfStyle w:val="100000000000" w:firstRow="1" w:lastRow="0" w:firstColumn="0" w:lastColumn="0" w:oddVBand="0" w:evenVBand="0" w:oddHBand="0" w:evenHBand="0" w:firstRowFirstColumn="0" w:firstRowLastColumn="0" w:lastRowFirstColumn="0" w:lastRowLastColumn="0"/>
              <w:rPr>
                <w:b w:val="0"/>
                <w:iCs/>
                <w:szCs w:val="18"/>
              </w:rPr>
            </w:pPr>
            <w:r>
              <w:t>PLR</w:t>
            </w:r>
          </w:p>
        </w:tc>
      </w:tr>
      <w:tr w:rsidR="00865149" w14:paraId="2134D10C" w14:textId="77777777" w:rsidTr="007D1C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3" w:type="dxa"/>
          </w:tcPr>
          <w:p w14:paraId="4D8AC8F3" w14:textId="77777777" w:rsidR="00865149" w:rsidRDefault="00865149" w:rsidP="00DA1414">
            <w:pPr>
              <w:spacing w:before="360" w:after="0"/>
              <w:rPr>
                <w:b w:val="0"/>
                <w:iCs/>
                <w:szCs w:val="18"/>
              </w:rPr>
            </w:pPr>
            <w:r>
              <w:t>AP</w:t>
            </w:r>
          </w:p>
        </w:tc>
        <w:tc>
          <w:tcPr>
            <w:tcW w:w="1264" w:type="dxa"/>
          </w:tcPr>
          <w:p w14:paraId="604BF8A1" w14:textId="77777777" w:rsidR="00865149" w:rsidRDefault="0086514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w:t>
            </w:r>
          </w:p>
        </w:tc>
        <w:tc>
          <w:tcPr>
            <w:tcW w:w="1294" w:type="dxa"/>
          </w:tcPr>
          <w:p w14:paraId="5D8E16F9" w14:textId="77777777" w:rsidR="00865149" w:rsidRDefault="0086514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0.158</w:t>
            </w:r>
          </w:p>
        </w:tc>
        <w:tc>
          <w:tcPr>
            <w:tcW w:w="1293" w:type="dxa"/>
          </w:tcPr>
          <w:p w14:paraId="2F142A2C" w14:textId="77777777" w:rsidR="00865149" w:rsidRDefault="0086514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0.110</w:t>
            </w:r>
          </w:p>
        </w:tc>
        <w:tc>
          <w:tcPr>
            <w:tcW w:w="1294" w:type="dxa"/>
          </w:tcPr>
          <w:p w14:paraId="33A29A0D" w14:textId="77777777" w:rsidR="00865149" w:rsidRDefault="0086514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-0.003</w:t>
            </w:r>
          </w:p>
        </w:tc>
        <w:tc>
          <w:tcPr>
            <w:tcW w:w="1294" w:type="dxa"/>
          </w:tcPr>
          <w:p w14:paraId="7FFCA3CF" w14:textId="77777777" w:rsidR="00865149" w:rsidRDefault="0086514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0.046</w:t>
            </w:r>
          </w:p>
        </w:tc>
        <w:tc>
          <w:tcPr>
            <w:tcW w:w="1294" w:type="dxa"/>
          </w:tcPr>
          <w:p w14:paraId="1A253A28" w14:textId="77777777" w:rsidR="00865149" w:rsidRDefault="0086514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0.074</w:t>
            </w:r>
          </w:p>
        </w:tc>
      </w:tr>
      <w:tr w:rsidR="00865149" w14:paraId="3A5430C9" w14:textId="77777777" w:rsidTr="007D1C65">
        <w:tc>
          <w:tcPr>
            <w:cnfStyle w:val="001000000000" w:firstRow="0" w:lastRow="0" w:firstColumn="1" w:lastColumn="0" w:oddVBand="0" w:evenVBand="0" w:oddHBand="0" w:evenHBand="0" w:firstRowFirstColumn="0" w:firstRowLastColumn="0" w:lastRowFirstColumn="0" w:lastRowLastColumn="0"/>
            <w:tcW w:w="1283" w:type="dxa"/>
          </w:tcPr>
          <w:p w14:paraId="02447BE6" w14:textId="77777777" w:rsidR="00865149" w:rsidRDefault="00865149" w:rsidP="00DA1414">
            <w:pPr>
              <w:spacing w:before="360" w:after="0"/>
              <w:rPr>
                <w:b w:val="0"/>
                <w:iCs/>
                <w:szCs w:val="18"/>
              </w:rPr>
            </w:pPr>
            <w:r>
              <w:t>BMF</w:t>
            </w:r>
          </w:p>
        </w:tc>
        <w:tc>
          <w:tcPr>
            <w:tcW w:w="1264" w:type="dxa"/>
          </w:tcPr>
          <w:p w14:paraId="1851E56C" w14:textId="77777777" w:rsidR="00865149" w:rsidRDefault="0086514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p>
        </w:tc>
        <w:tc>
          <w:tcPr>
            <w:tcW w:w="1294" w:type="dxa"/>
          </w:tcPr>
          <w:p w14:paraId="18DB22ED" w14:textId="77777777" w:rsidR="00865149" w:rsidRDefault="0086514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w:t>
            </w:r>
          </w:p>
        </w:tc>
        <w:tc>
          <w:tcPr>
            <w:tcW w:w="1293" w:type="dxa"/>
          </w:tcPr>
          <w:p w14:paraId="29D79B8A" w14:textId="77777777" w:rsidR="00865149" w:rsidRDefault="0086514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-0.007</w:t>
            </w:r>
          </w:p>
        </w:tc>
        <w:tc>
          <w:tcPr>
            <w:tcW w:w="1294" w:type="dxa"/>
          </w:tcPr>
          <w:p w14:paraId="4F76D4E0" w14:textId="77777777" w:rsidR="00865149" w:rsidRDefault="0086514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0.146</w:t>
            </w:r>
          </w:p>
        </w:tc>
        <w:tc>
          <w:tcPr>
            <w:tcW w:w="1294" w:type="dxa"/>
          </w:tcPr>
          <w:p w14:paraId="1CD163C1" w14:textId="77777777" w:rsidR="00865149" w:rsidRDefault="0086514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0.027</w:t>
            </w:r>
          </w:p>
        </w:tc>
        <w:tc>
          <w:tcPr>
            <w:tcW w:w="1294" w:type="dxa"/>
          </w:tcPr>
          <w:p w14:paraId="27EC9671" w14:textId="77777777" w:rsidR="00865149" w:rsidRDefault="0086514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0.005</w:t>
            </w:r>
          </w:p>
        </w:tc>
      </w:tr>
      <w:tr w:rsidR="00865149" w14:paraId="6712EB74" w14:textId="77777777" w:rsidTr="007D1C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3" w:type="dxa"/>
          </w:tcPr>
          <w:p w14:paraId="4AE070A7" w14:textId="77777777" w:rsidR="00865149" w:rsidRDefault="00865149" w:rsidP="00DA1414">
            <w:pPr>
              <w:spacing w:before="360" w:after="0"/>
              <w:rPr>
                <w:b w:val="0"/>
                <w:iCs/>
                <w:szCs w:val="18"/>
              </w:rPr>
            </w:pPr>
            <w:r>
              <w:t>CC</w:t>
            </w:r>
          </w:p>
        </w:tc>
        <w:tc>
          <w:tcPr>
            <w:tcW w:w="1264" w:type="dxa"/>
          </w:tcPr>
          <w:p w14:paraId="1F4E8425" w14:textId="77777777" w:rsidR="00865149" w:rsidRDefault="0086514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p>
        </w:tc>
        <w:tc>
          <w:tcPr>
            <w:tcW w:w="1294" w:type="dxa"/>
          </w:tcPr>
          <w:p w14:paraId="2230523D" w14:textId="77777777" w:rsidR="00865149" w:rsidRDefault="0086514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p>
        </w:tc>
        <w:tc>
          <w:tcPr>
            <w:tcW w:w="1293" w:type="dxa"/>
          </w:tcPr>
          <w:p w14:paraId="32CFBCFC" w14:textId="77777777" w:rsidR="00865149" w:rsidRDefault="0086514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w:t>
            </w:r>
          </w:p>
        </w:tc>
        <w:tc>
          <w:tcPr>
            <w:tcW w:w="1294" w:type="dxa"/>
          </w:tcPr>
          <w:p w14:paraId="6691ECAE" w14:textId="77777777" w:rsidR="00865149" w:rsidRDefault="0086514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0.097</w:t>
            </w:r>
          </w:p>
        </w:tc>
        <w:tc>
          <w:tcPr>
            <w:tcW w:w="1294" w:type="dxa"/>
          </w:tcPr>
          <w:p w14:paraId="0731C6F3" w14:textId="77777777" w:rsidR="00865149" w:rsidRDefault="0086514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0.002</w:t>
            </w:r>
          </w:p>
        </w:tc>
        <w:tc>
          <w:tcPr>
            <w:tcW w:w="1294" w:type="dxa"/>
          </w:tcPr>
          <w:p w14:paraId="1BAA15CC" w14:textId="77777777" w:rsidR="00865149" w:rsidRDefault="0086514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-0.011</w:t>
            </w:r>
          </w:p>
        </w:tc>
      </w:tr>
      <w:tr w:rsidR="00865149" w14:paraId="3738B19F" w14:textId="77777777" w:rsidTr="007D1C65">
        <w:tc>
          <w:tcPr>
            <w:cnfStyle w:val="001000000000" w:firstRow="0" w:lastRow="0" w:firstColumn="1" w:lastColumn="0" w:oddVBand="0" w:evenVBand="0" w:oddHBand="0" w:evenHBand="0" w:firstRowFirstColumn="0" w:firstRowLastColumn="0" w:lastRowFirstColumn="0" w:lastRowLastColumn="0"/>
            <w:tcW w:w="1283" w:type="dxa"/>
          </w:tcPr>
          <w:p w14:paraId="5BDFB1C2" w14:textId="77777777" w:rsidR="00865149" w:rsidRDefault="00865149" w:rsidP="00DA1414">
            <w:pPr>
              <w:spacing w:before="360" w:after="0"/>
              <w:rPr>
                <w:b w:val="0"/>
                <w:iCs/>
                <w:szCs w:val="18"/>
              </w:rPr>
            </w:pPr>
            <w:r>
              <w:t>CV</w:t>
            </w:r>
          </w:p>
        </w:tc>
        <w:tc>
          <w:tcPr>
            <w:tcW w:w="1264" w:type="dxa"/>
          </w:tcPr>
          <w:p w14:paraId="2FB3398B" w14:textId="77777777" w:rsidR="00865149" w:rsidRDefault="0086514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p>
        </w:tc>
        <w:tc>
          <w:tcPr>
            <w:tcW w:w="1294" w:type="dxa"/>
          </w:tcPr>
          <w:p w14:paraId="09B349B7" w14:textId="77777777" w:rsidR="00865149" w:rsidRDefault="0086514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p>
        </w:tc>
        <w:tc>
          <w:tcPr>
            <w:tcW w:w="1293" w:type="dxa"/>
          </w:tcPr>
          <w:p w14:paraId="3E1F9825" w14:textId="77777777" w:rsidR="00865149" w:rsidRDefault="0086514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p>
        </w:tc>
        <w:tc>
          <w:tcPr>
            <w:tcW w:w="1294" w:type="dxa"/>
          </w:tcPr>
          <w:p w14:paraId="5D1C92CA" w14:textId="77777777" w:rsidR="00865149" w:rsidRDefault="0086514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w:t>
            </w:r>
          </w:p>
        </w:tc>
        <w:tc>
          <w:tcPr>
            <w:tcW w:w="1294" w:type="dxa"/>
          </w:tcPr>
          <w:p w14:paraId="2C3836EF" w14:textId="77777777" w:rsidR="00865149" w:rsidRDefault="0086514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0.034</w:t>
            </w:r>
          </w:p>
        </w:tc>
        <w:tc>
          <w:tcPr>
            <w:tcW w:w="1294" w:type="dxa"/>
          </w:tcPr>
          <w:p w14:paraId="03A049B7" w14:textId="77777777" w:rsidR="00865149" w:rsidRDefault="0086514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0.063</w:t>
            </w:r>
          </w:p>
        </w:tc>
      </w:tr>
      <w:tr w:rsidR="00865149" w14:paraId="7BA0583A" w14:textId="77777777" w:rsidTr="007D1C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3" w:type="dxa"/>
          </w:tcPr>
          <w:p w14:paraId="1502E6D3" w14:textId="77777777" w:rsidR="00865149" w:rsidRDefault="00865149" w:rsidP="00DA1414">
            <w:pPr>
              <w:spacing w:before="360" w:after="0"/>
              <w:rPr>
                <w:b w:val="0"/>
                <w:iCs/>
                <w:szCs w:val="18"/>
              </w:rPr>
            </w:pPr>
            <w:r>
              <w:t>EB</w:t>
            </w:r>
          </w:p>
        </w:tc>
        <w:tc>
          <w:tcPr>
            <w:tcW w:w="1264" w:type="dxa"/>
          </w:tcPr>
          <w:p w14:paraId="2B5DD9C3" w14:textId="77777777" w:rsidR="00865149" w:rsidRDefault="0086514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p>
        </w:tc>
        <w:tc>
          <w:tcPr>
            <w:tcW w:w="1294" w:type="dxa"/>
          </w:tcPr>
          <w:p w14:paraId="4A77CEA7" w14:textId="77777777" w:rsidR="00865149" w:rsidRDefault="0086514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p>
        </w:tc>
        <w:tc>
          <w:tcPr>
            <w:tcW w:w="1293" w:type="dxa"/>
          </w:tcPr>
          <w:p w14:paraId="713FBB13" w14:textId="77777777" w:rsidR="00865149" w:rsidRDefault="0086514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p>
        </w:tc>
        <w:tc>
          <w:tcPr>
            <w:tcW w:w="1294" w:type="dxa"/>
          </w:tcPr>
          <w:p w14:paraId="34F8C303" w14:textId="77777777" w:rsidR="00865149" w:rsidRDefault="0086514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p>
        </w:tc>
        <w:tc>
          <w:tcPr>
            <w:tcW w:w="1294" w:type="dxa"/>
          </w:tcPr>
          <w:p w14:paraId="465E0E59" w14:textId="77777777" w:rsidR="00865149" w:rsidRDefault="0086514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w:t>
            </w:r>
          </w:p>
        </w:tc>
        <w:tc>
          <w:tcPr>
            <w:tcW w:w="1294" w:type="dxa"/>
          </w:tcPr>
          <w:p w14:paraId="21595861" w14:textId="77777777" w:rsidR="00865149" w:rsidRDefault="00865149"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-0.009</w:t>
            </w:r>
          </w:p>
        </w:tc>
      </w:tr>
      <w:tr w:rsidR="00865149" w14:paraId="72E6CFAF" w14:textId="77777777" w:rsidTr="007D1C65">
        <w:tc>
          <w:tcPr>
            <w:cnfStyle w:val="001000000000" w:firstRow="0" w:lastRow="0" w:firstColumn="1" w:lastColumn="0" w:oddVBand="0" w:evenVBand="0" w:oddHBand="0" w:evenHBand="0" w:firstRowFirstColumn="0" w:firstRowLastColumn="0" w:lastRowFirstColumn="0" w:lastRowLastColumn="0"/>
            <w:tcW w:w="1283" w:type="dxa"/>
          </w:tcPr>
          <w:p w14:paraId="5165A4DA" w14:textId="77777777" w:rsidR="00865149" w:rsidRDefault="00865149" w:rsidP="00DA1414">
            <w:pPr>
              <w:spacing w:before="360" w:after="0"/>
              <w:rPr>
                <w:b w:val="0"/>
                <w:iCs/>
                <w:szCs w:val="18"/>
              </w:rPr>
            </w:pPr>
            <w:r>
              <w:t>PLR</w:t>
            </w:r>
          </w:p>
        </w:tc>
        <w:tc>
          <w:tcPr>
            <w:tcW w:w="1264" w:type="dxa"/>
          </w:tcPr>
          <w:p w14:paraId="43721BBB" w14:textId="77777777" w:rsidR="00865149" w:rsidRDefault="0086514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p>
        </w:tc>
        <w:tc>
          <w:tcPr>
            <w:tcW w:w="1294" w:type="dxa"/>
          </w:tcPr>
          <w:p w14:paraId="0B9EBB4A" w14:textId="77777777" w:rsidR="00865149" w:rsidRDefault="0086514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p>
        </w:tc>
        <w:tc>
          <w:tcPr>
            <w:tcW w:w="1293" w:type="dxa"/>
          </w:tcPr>
          <w:p w14:paraId="6383BE01" w14:textId="77777777" w:rsidR="00865149" w:rsidRDefault="0086514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p>
        </w:tc>
        <w:tc>
          <w:tcPr>
            <w:tcW w:w="1294" w:type="dxa"/>
          </w:tcPr>
          <w:p w14:paraId="501D0813" w14:textId="77777777" w:rsidR="00865149" w:rsidRDefault="0086514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p>
        </w:tc>
        <w:tc>
          <w:tcPr>
            <w:tcW w:w="1294" w:type="dxa"/>
          </w:tcPr>
          <w:p w14:paraId="04CBA755" w14:textId="77777777" w:rsidR="00865149" w:rsidRDefault="0086514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p>
        </w:tc>
        <w:tc>
          <w:tcPr>
            <w:tcW w:w="1294" w:type="dxa"/>
          </w:tcPr>
          <w:p w14:paraId="13DF26F9" w14:textId="77777777" w:rsidR="00865149" w:rsidRDefault="00865149"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w:t>
            </w:r>
          </w:p>
        </w:tc>
      </w:tr>
    </w:tbl>
    <w:p w14:paraId="3E61E78D" w14:textId="77777777" w:rsidR="007D1C65" w:rsidRPr="007D1C65" w:rsidRDefault="007D1C65" w:rsidP="00FD3734">
      <w:pPr>
        <w:pStyle w:val="Heading3"/>
      </w:pPr>
      <w:bookmarkStart w:id="22" w:name="_Toc225146225"/>
      <w:r>
        <w:lastRenderedPageBreak/>
        <w:t>Isolation by Distance</w:t>
      </w:r>
      <w:bookmarkEnd w:id="22"/>
    </w:p>
    <w:p w14:paraId="4CFCD534" w14:textId="008CBECB" w:rsidR="007D1C65" w:rsidRPr="007D1C65" w:rsidRDefault="007D1C65" w:rsidP="007D1C65">
      <w:r>
        <w:t>Isolation by distance was evaluated using Mantel tests comparing linearised genetic differentiation (F_ST</w:t>
      </w:r>
      <w:proofErr w:type="gramStart"/>
      <w:r>
        <w:t>/(</w:t>
      </w:r>
      <w:proofErr w:type="gramEnd"/>
      <w:r>
        <w:t xml:space="preserve">1 − F_ST)) with geographic distance among populations (Figure </w:t>
      </w:r>
      <w:r w:rsidR="005E51FB">
        <w:t>8</w:t>
      </w:r>
      <w:r>
        <w:t>).</w:t>
      </w:r>
    </w:p>
    <w:p w14:paraId="089F06AF" w14:textId="54AD979C" w:rsidR="007D1C65" w:rsidRDefault="006264BD" w:rsidP="007D1C65">
      <w:r>
        <w:rPr>
          <w:noProof/>
        </w:rPr>
        <w:drawing>
          <wp:inline distT="0" distB="0" distL="0" distR="0" wp14:anchorId="73B5CE4C" wp14:editId="6335E11C">
            <wp:extent cx="5724265" cy="5061098"/>
            <wp:effectExtent l="0" t="0" r="0" b="6350"/>
            <wp:docPr id="802910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a:extLst>
                        <a:ext uri="{28A0092B-C50C-407E-A947-70E740481C1C}">
                          <a14:useLocalDpi xmlns:a14="http://schemas.microsoft.com/office/drawing/2010/main" val="0"/>
                        </a:ext>
                      </a:extLst>
                    </a:blip>
                    <a:srcRect t="4119" b="2493"/>
                    <a:stretch>
                      <a:fillRect/>
                    </a:stretch>
                  </pic:blipFill>
                  <pic:spPr bwMode="auto">
                    <a:xfrm>
                      <a:off x="0" y="0"/>
                      <a:ext cx="5724525" cy="5061328"/>
                    </a:xfrm>
                    <a:prstGeom prst="rect">
                      <a:avLst/>
                    </a:prstGeom>
                    <a:noFill/>
                    <a:ln>
                      <a:noFill/>
                    </a:ln>
                    <a:extLst>
                      <a:ext uri="{53640926-AAD7-44D8-BBD7-CCE9431645EC}">
                        <a14:shadowObscured xmlns:a14="http://schemas.microsoft.com/office/drawing/2010/main"/>
                      </a:ext>
                    </a:extLst>
                  </pic:spPr>
                </pic:pic>
              </a:graphicData>
            </a:graphic>
          </wp:inline>
        </w:drawing>
      </w:r>
    </w:p>
    <w:p w14:paraId="508EB93B" w14:textId="79B366C8" w:rsidR="006264BD" w:rsidRDefault="006264BD" w:rsidP="006264BD">
      <w:pPr>
        <w:pStyle w:val="Caption"/>
      </w:pPr>
      <w:r>
        <w:t xml:space="preserve">Figure </w:t>
      </w:r>
      <w:r w:rsidR="005E51FB">
        <w:t>8</w:t>
      </w:r>
      <w:r>
        <w:t xml:space="preserve"> Isolation-by-distance plots showing the relationship between geographic distance and linearised genetic differentiation for COI (left) and H3 (right). Dashed lines indicate linear regression trends.</w:t>
      </w:r>
    </w:p>
    <w:p w14:paraId="1A8C0296" w14:textId="693746AB" w:rsidR="007D1C65" w:rsidRPr="007D1C65" w:rsidRDefault="007D1C65" w:rsidP="007D1C65">
      <w:r>
        <w:t>No significant relationship between genetic and geographic distance was detected for either genetic marker.</w:t>
      </w:r>
    </w:p>
    <w:p w14:paraId="084BEE0A" w14:textId="77777777" w:rsidR="007D1C65" w:rsidRPr="007D1C65" w:rsidRDefault="007D1C65" w:rsidP="007D1C65">
      <w:r>
        <w:t xml:space="preserve">For COI, the Mantel test showed a weak positive correlation that was not statistically significant (r = 0.051, </w:t>
      </w:r>
      <w:r>
        <w:rPr>
          <w:i/>
          <w:iCs/>
        </w:rPr>
        <w:t>p</w:t>
      </w:r>
      <w:r>
        <w:t xml:space="preserve"> = 0.410).</w:t>
      </w:r>
    </w:p>
    <w:p w14:paraId="63F7BC4A" w14:textId="77777777" w:rsidR="007D1C65" w:rsidRPr="007D1C65" w:rsidRDefault="007D1C65" w:rsidP="007D1C65">
      <w:r>
        <w:lastRenderedPageBreak/>
        <w:t xml:space="preserve">For H3, the Mantel test indicated a negative, non-significant correlation between genetic and geographic distance (r = −0.235, </w:t>
      </w:r>
      <w:r>
        <w:rPr>
          <w:i/>
          <w:iCs/>
        </w:rPr>
        <w:t>p</w:t>
      </w:r>
      <w:r>
        <w:t xml:space="preserve"> = 0.800).</w:t>
      </w:r>
    </w:p>
    <w:p w14:paraId="31FF47BD" w14:textId="77777777" w:rsidR="007D1C65" w:rsidRPr="007D1C65" w:rsidRDefault="007D1C65" w:rsidP="007D1C65">
      <w:r>
        <w:t>Scatterplots showed no consistent increase in genetic differentiation with increasing geographic distance.</w:t>
      </w:r>
    </w:p>
    <w:p w14:paraId="2A69F889" w14:textId="77777777" w:rsidR="002729ED" w:rsidRPr="002729ED" w:rsidRDefault="002729ED" w:rsidP="00FD3734">
      <w:pPr>
        <w:pStyle w:val="Heading3"/>
      </w:pPr>
      <w:bookmarkStart w:id="23" w:name="_Toc225146226"/>
      <w:r>
        <w:t>Neutrality Tests</w:t>
      </w:r>
      <w:bookmarkEnd w:id="23"/>
    </w:p>
    <w:p w14:paraId="3E70733D" w14:textId="24ACF903" w:rsidR="002729ED" w:rsidRPr="002729ED" w:rsidRDefault="002729ED" w:rsidP="002729ED">
      <w:r>
        <w:t>Neutrality was assessed for each population using Tajima’s D statistics (Table 6).</w:t>
      </w:r>
    </w:p>
    <w:p w14:paraId="7B01D255" w14:textId="77777777" w:rsidR="002729ED" w:rsidRPr="002729ED" w:rsidRDefault="002729ED" w:rsidP="002729ED">
      <w:r>
        <w:t>For the COI marker, Tajima’s D values ranged from −1.728 (PLR) to 0.231 (EB).</w:t>
      </w:r>
    </w:p>
    <w:p w14:paraId="0FEF0BA8" w14:textId="77777777" w:rsidR="002729ED" w:rsidRPr="002729ED" w:rsidRDefault="002729ED" w:rsidP="002729ED">
      <w:r>
        <w:t>For the H3 marker, values ranged from −1.741 (AP) to 1.939 (EB).</w:t>
      </w:r>
    </w:p>
    <w:p w14:paraId="609EDA69" w14:textId="77777777" w:rsidR="002729ED" w:rsidRDefault="002729ED" w:rsidP="002729ED">
      <w:r>
        <w:t>Across both markers, Tajima’s D values varied among populations and were not statistically significant.</w:t>
      </w:r>
    </w:p>
    <w:p w14:paraId="2E150FF3" w14:textId="4D50B236" w:rsidR="001D5DCE" w:rsidRDefault="001D5DCE" w:rsidP="001D5DCE">
      <w:pPr>
        <w:pStyle w:val="Caption"/>
      </w:pPr>
      <w:r>
        <w:t>Table 6 Tajima’s D by population</w:t>
      </w:r>
    </w:p>
    <w:tbl>
      <w:tblPr>
        <w:tblStyle w:val="TableStyle4"/>
        <w:tblW w:w="0" w:type="auto"/>
        <w:tblLook w:val="04A0" w:firstRow="1" w:lastRow="0" w:firstColumn="1" w:lastColumn="0" w:noHBand="0" w:noVBand="1"/>
      </w:tblPr>
      <w:tblGrid>
        <w:gridCol w:w="2983"/>
        <w:gridCol w:w="3031"/>
        <w:gridCol w:w="3002"/>
      </w:tblGrid>
      <w:tr w:rsidR="00D67334" w14:paraId="7320A7AD" w14:textId="77777777" w:rsidTr="00DA14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7" w:type="dxa"/>
            <w:vAlign w:val="center"/>
          </w:tcPr>
          <w:p w14:paraId="63416058" w14:textId="77777777" w:rsidR="00D67334" w:rsidRDefault="00D67334" w:rsidP="00DA1414">
            <w:pPr>
              <w:spacing w:before="360" w:after="0"/>
              <w:rPr>
                <w:b w:val="0"/>
                <w:iCs/>
                <w:szCs w:val="18"/>
              </w:rPr>
            </w:pPr>
            <w:r>
              <w:rPr>
                <w:b w:val="0"/>
                <w:bCs/>
              </w:rPr>
              <w:t>Marker</w:t>
            </w:r>
          </w:p>
        </w:tc>
        <w:tc>
          <w:tcPr>
            <w:tcW w:w="3207" w:type="dxa"/>
            <w:vAlign w:val="center"/>
          </w:tcPr>
          <w:p w14:paraId="5E1A03A8" w14:textId="77777777" w:rsidR="00D67334" w:rsidRDefault="00D67334" w:rsidP="00DA1414">
            <w:pPr>
              <w:spacing w:before="360" w:after="0"/>
              <w:cnfStyle w:val="100000000000" w:firstRow="1" w:lastRow="0" w:firstColumn="0" w:lastColumn="0" w:oddVBand="0" w:evenVBand="0" w:oddHBand="0" w:evenHBand="0" w:firstRowFirstColumn="0" w:firstRowLastColumn="0" w:lastRowFirstColumn="0" w:lastRowLastColumn="0"/>
              <w:rPr>
                <w:b w:val="0"/>
                <w:iCs/>
                <w:szCs w:val="18"/>
              </w:rPr>
            </w:pPr>
            <w:r>
              <w:rPr>
                <w:b w:val="0"/>
                <w:bCs/>
              </w:rPr>
              <w:t>Population</w:t>
            </w:r>
          </w:p>
        </w:tc>
        <w:tc>
          <w:tcPr>
            <w:tcW w:w="3207" w:type="dxa"/>
            <w:vAlign w:val="center"/>
          </w:tcPr>
          <w:p w14:paraId="270B2F41" w14:textId="77777777" w:rsidR="00D67334" w:rsidRDefault="00D67334" w:rsidP="00DA1414">
            <w:pPr>
              <w:spacing w:before="360" w:after="0"/>
              <w:cnfStyle w:val="100000000000" w:firstRow="1" w:lastRow="0" w:firstColumn="0" w:lastColumn="0" w:oddVBand="0" w:evenVBand="0" w:oddHBand="0" w:evenHBand="0" w:firstRowFirstColumn="0" w:firstRowLastColumn="0" w:lastRowFirstColumn="0" w:lastRowLastColumn="0"/>
              <w:rPr>
                <w:b w:val="0"/>
                <w:iCs/>
                <w:szCs w:val="18"/>
              </w:rPr>
            </w:pPr>
            <w:r>
              <w:rPr>
                <w:b w:val="0"/>
                <w:bCs/>
              </w:rPr>
              <w:t>Tajima’s D</w:t>
            </w:r>
          </w:p>
        </w:tc>
      </w:tr>
      <w:tr w:rsidR="00D67334" w14:paraId="241B6CA4" w14:textId="77777777" w:rsidTr="00DA1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7" w:type="dxa"/>
            <w:vAlign w:val="center"/>
          </w:tcPr>
          <w:p w14:paraId="46CD9A99" w14:textId="77777777" w:rsidR="00D67334" w:rsidRDefault="00D67334" w:rsidP="00DA1414">
            <w:pPr>
              <w:spacing w:before="360" w:after="0"/>
              <w:rPr>
                <w:b w:val="0"/>
                <w:iCs/>
                <w:szCs w:val="18"/>
              </w:rPr>
            </w:pPr>
            <w:r>
              <w:t>COI</w:t>
            </w:r>
          </w:p>
        </w:tc>
        <w:tc>
          <w:tcPr>
            <w:tcW w:w="3207" w:type="dxa"/>
            <w:vAlign w:val="center"/>
          </w:tcPr>
          <w:p w14:paraId="58B0B812" w14:textId="77777777" w:rsidR="00D67334" w:rsidRDefault="00D67334"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AP</w:t>
            </w:r>
          </w:p>
        </w:tc>
        <w:tc>
          <w:tcPr>
            <w:tcW w:w="3207" w:type="dxa"/>
            <w:vAlign w:val="center"/>
          </w:tcPr>
          <w:p w14:paraId="0E92783D" w14:textId="77777777" w:rsidR="00D67334" w:rsidRDefault="00D67334"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-0.050</w:t>
            </w:r>
          </w:p>
        </w:tc>
      </w:tr>
      <w:tr w:rsidR="00D67334" w14:paraId="29636104" w14:textId="77777777" w:rsidTr="00DA1414">
        <w:tc>
          <w:tcPr>
            <w:cnfStyle w:val="001000000000" w:firstRow="0" w:lastRow="0" w:firstColumn="1" w:lastColumn="0" w:oddVBand="0" w:evenVBand="0" w:oddHBand="0" w:evenHBand="0" w:firstRowFirstColumn="0" w:firstRowLastColumn="0" w:lastRowFirstColumn="0" w:lastRowLastColumn="0"/>
            <w:tcW w:w="3207" w:type="dxa"/>
            <w:vAlign w:val="center"/>
          </w:tcPr>
          <w:p w14:paraId="4B23970F" w14:textId="77777777" w:rsidR="00D67334" w:rsidRDefault="00D67334" w:rsidP="00DA1414">
            <w:pPr>
              <w:spacing w:before="360" w:after="0"/>
              <w:rPr>
                <w:b w:val="0"/>
                <w:iCs/>
                <w:szCs w:val="18"/>
              </w:rPr>
            </w:pPr>
          </w:p>
        </w:tc>
        <w:tc>
          <w:tcPr>
            <w:tcW w:w="3207" w:type="dxa"/>
            <w:vAlign w:val="center"/>
          </w:tcPr>
          <w:p w14:paraId="2F66FF3B" w14:textId="77777777" w:rsidR="00D67334" w:rsidRDefault="00D67334"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BMF</w:t>
            </w:r>
          </w:p>
        </w:tc>
        <w:tc>
          <w:tcPr>
            <w:tcW w:w="3207" w:type="dxa"/>
            <w:vAlign w:val="center"/>
          </w:tcPr>
          <w:p w14:paraId="1D5A39AD" w14:textId="77777777" w:rsidR="00D67334" w:rsidRDefault="00D67334"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-0.159</w:t>
            </w:r>
          </w:p>
        </w:tc>
      </w:tr>
      <w:tr w:rsidR="00D67334" w14:paraId="07A49A07" w14:textId="77777777" w:rsidTr="00DA1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7" w:type="dxa"/>
            <w:vAlign w:val="center"/>
          </w:tcPr>
          <w:p w14:paraId="648D8EA6" w14:textId="77777777" w:rsidR="00D67334" w:rsidRDefault="00D67334" w:rsidP="00DA1414">
            <w:pPr>
              <w:spacing w:before="360" w:after="0"/>
              <w:rPr>
                <w:b w:val="0"/>
                <w:iCs/>
                <w:szCs w:val="18"/>
              </w:rPr>
            </w:pPr>
          </w:p>
        </w:tc>
        <w:tc>
          <w:tcPr>
            <w:tcW w:w="3207" w:type="dxa"/>
            <w:vAlign w:val="center"/>
          </w:tcPr>
          <w:p w14:paraId="25A658FD" w14:textId="77777777" w:rsidR="00D67334" w:rsidRDefault="00D67334"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CC</w:t>
            </w:r>
          </w:p>
        </w:tc>
        <w:tc>
          <w:tcPr>
            <w:tcW w:w="3207" w:type="dxa"/>
            <w:vAlign w:val="center"/>
          </w:tcPr>
          <w:p w14:paraId="79B09DD9" w14:textId="77777777" w:rsidR="00D67334" w:rsidRDefault="00D67334"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-1.112</w:t>
            </w:r>
          </w:p>
        </w:tc>
      </w:tr>
      <w:tr w:rsidR="00D67334" w14:paraId="5844CE49" w14:textId="77777777" w:rsidTr="00DA1414">
        <w:tc>
          <w:tcPr>
            <w:cnfStyle w:val="001000000000" w:firstRow="0" w:lastRow="0" w:firstColumn="1" w:lastColumn="0" w:oddVBand="0" w:evenVBand="0" w:oddHBand="0" w:evenHBand="0" w:firstRowFirstColumn="0" w:firstRowLastColumn="0" w:lastRowFirstColumn="0" w:lastRowLastColumn="0"/>
            <w:tcW w:w="3207" w:type="dxa"/>
            <w:vAlign w:val="center"/>
          </w:tcPr>
          <w:p w14:paraId="50B5AC53" w14:textId="77777777" w:rsidR="00D67334" w:rsidRDefault="00D67334" w:rsidP="00DA1414">
            <w:pPr>
              <w:spacing w:before="360" w:after="0"/>
              <w:rPr>
                <w:b w:val="0"/>
                <w:iCs/>
                <w:szCs w:val="18"/>
              </w:rPr>
            </w:pPr>
          </w:p>
        </w:tc>
        <w:tc>
          <w:tcPr>
            <w:tcW w:w="3207" w:type="dxa"/>
            <w:vAlign w:val="center"/>
          </w:tcPr>
          <w:p w14:paraId="64A0C551" w14:textId="77777777" w:rsidR="00D67334" w:rsidRDefault="00D67334"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CV</w:t>
            </w:r>
          </w:p>
        </w:tc>
        <w:tc>
          <w:tcPr>
            <w:tcW w:w="3207" w:type="dxa"/>
            <w:vAlign w:val="center"/>
          </w:tcPr>
          <w:p w14:paraId="06BE941D" w14:textId="77777777" w:rsidR="00D67334" w:rsidRDefault="00D67334"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-1.024</w:t>
            </w:r>
          </w:p>
        </w:tc>
      </w:tr>
      <w:tr w:rsidR="00D67334" w14:paraId="119FFCAA" w14:textId="77777777" w:rsidTr="00DA1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7" w:type="dxa"/>
            <w:vAlign w:val="center"/>
          </w:tcPr>
          <w:p w14:paraId="62AAB7BC" w14:textId="77777777" w:rsidR="00D67334" w:rsidRDefault="00D67334" w:rsidP="00DA1414">
            <w:pPr>
              <w:spacing w:before="360" w:after="0"/>
              <w:rPr>
                <w:b w:val="0"/>
                <w:iCs/>
                <w:szCs w:val="18"/>
              </w:rPr>
            </w:pPr>
          </w:p>
        </w:tc>
        <w:tc>
          <w:tcPr>
            <w:tcW w:w="3207" w:type="dxa"/>
            <w:vAlign w:val="center"/>
          </w:tcPr>
          <w:p w14:paraId="4A5792BE" w14:textId="77777777" w:rsidR="00D67334" w:rsidRDefault="00D67334"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EB</w:t>
            </w:r>
          </w:p>
        </w:tc>
        <w:tc>
          <w:tcPr>
            <w:tcW w:w="3207" w:type="dxa"/>
            <w:vAlign w:val="center"/>
          </w:tcPr>
          <w:p w14:paraId="1CA56EFF" w14:textId="77777777" w:rsidR="00D67334" w:rsidRDefault="00D67334"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0.231</w:t>
            </w:r>
          </w:p>
        </w:tc>
      </w:tr>
      <w:tr w:rsidR="00D67334" w14:paraId="7E8678F5" w14:textId="77777777" w:rsidTr="00DA1414">
        <w:tc>
          <w:tcPr>
            <w:cnfStyle w:val="001000000000" w:firstRow="0" w:lastRow="0" w:firstColumn="1" w:lastColumn="0" w:oddVBand="0" w:evenVBand="0" w:oddHBand="0" w:evenHBand="0" w:firstRowFirstColumn="0" w:firstRowLastColumn="0" w:lastRowFirstColumn="0" w:lastRowLastColumn="0"/>
            <w:tcW w:w="3207" w:type="dxa"/>
            <w:vAlign w:val="center"/>
          </w:tcPr>
          <w:p w14:paraId="41ACB8EF" w14:textId="77777777" w:rsidR="00D67334" w:rsidRDefault="00D67334" w:rsidP="00DA1414">
            <w:pPr>
              <w:spacing w:before="360" w:after="0"/>
              <w:rPr>
                <w:b w:val="0"/>
                <w:iCs/>
                <w:szCs w:val="18"/>
              </w:rPr>
            </w:pPr>
          </w:p>
        </w:tc>
        <w:tc>
          <w:tcPr>
            <w:tcW w:w="3207" w:type="dxa"/>
            <w:vAlign w:val="center"/>
          </w:tcPr>
          <w:p w14:paraId="1A3F84FD" w14:textId="77777777" w:rsidR="00D67334" w:rsidRDefault="00D67334"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PLR</w:t>
            </w:r>
          </w:p>
        </w:tc>
        <w:tc>
          <w:tcPr>
            <w:tcW w:w="3207" w:type="dxa"/>
            <w:vAlign w:val="center"/>
          </w:tcPr>
          <w:p w14:paraId="11DDA16C" w14:textId="77777777" w:rsidR="00D67334" w:rsidRDefault="00D67334"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-1.728</w:t>
            </w:r>
          </w:p>
        </w:tc>
      </w:tr>
      <w:tr w:rsidR="00D67334" w14:paraId="064C9988" w14:textId="77777777" w:rsidTr="00DA1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7" w:type="dxa"/>
            <w:vAlign w:val="center"/>
          </w:tcPr>
          <w:p w14:paraId="07DB4F36" w14:textId="77777777" w:rsidR="00D67334" w:rsidRDefault="00D67334" w:rsidP="00DA1414">
            <w:pPr>
              <w:spacing w:before="360" w:after="0"/>
              <w:rPr>
                <w:b w:val="0"/>
                <w:iCs/>
                <w:szCs w:val="18"/>
              </w:rPr>
            </w:pPr>
            <w:r>
              <w:t>H3</w:t>
            </w:r>
          </w:p>
        </w:tc>
        <w:tc>
          <w:tcPr>
            <w:tcW w:w="3207" w:type="dxa"/>
            <w:vAlign w:val="center"/>
          </w:tcPr>
          <w:p w14:paraId="037A7601" w14:textId="77777777" w:rsidR="00D67334" w:rsidRDefault="00D67334"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AP</w:t>
            </w:r>
          </w:p>
        </w:tc>
        <w:tc>
          <w:tcPr>
            <w:tcW w:w="3207" w:type="dxa"/>
            <w:vAlign w:val="center"/>
          </w:tcPr>
          <w:p w14:paraId="0C0DBE5C" w14:textId="77777777" w:rsidR="00D67334" w:rsidRDefault="00D67334"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-1.741</w:t>
            </w:r>
          </w:p>
        </w:tc>
      </w:tr>
      <w:tr w:rsidR="00D67334" w14:paraId="3EF3C7E9" w14:textId="77777777" w:rsidTr="00DA1414">
        <w:tc>
          <w:tcPr>
            <w:cnfStyle w:val="001000000000" w:firstRow="0" w:lastRow="0" w:firstColumn="1" w:lastColumn="0" w:oddVBand="0" w:evenVBand="0" w:oddHBand="0" w:evenHBand="0" w:firstRowFirstColumn="0" w:firstRowLastColumn="0" w:lastRowFirstColumn="0" w:lastRowLastColumn="0"/>
            <w:tcW w:w="3207" w:type="dxa"/>
            <w:vAlign w:val="center"/>
          </w:tcPr>
          <w:p w14:paraId="43AA9C2C" w14:textId="77777777" w:rsidR="00D67334" w:rsidRDefault="00D67334" w:rsidP="00DA1414">
            <w:pPr>
              <w:spacing w:before="360" w:after="0"/>
              <w:rPr>
                <w:b w:val="0"/>
                <w:iCs/>
                <w:szCs w:val="18"/>
              </w:rPr>
            </w:pPr>
          </w:p>
        </w:tc>
        <w:tc>
          <w:tcPr>
            <w:tcW w:w="3207" w:type="dxa"/>
            <w:vAlign w:val="center"/>
          </w:tcPr>
          <w:p w14:paraId="03360C72" w14:textId="77777777" w:rsidR="00D67334" w:rsidRDefault="00D67334"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BMF</w:t>
            </w:r>
          </w:p>
        </w:tc>
        <w:tc>
          <w:tcPr>
            <w:tcW w:w="3207" w:type="dxa"/>
            <w:vAlign w:val="center"/>
          </w:tcPr>
          <w:p w14:paraId="4B881754" w14:textId="77777777" w:rsidR="00D67334" w:rsidRDefault="00D67334"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-0.910</w:t>
            </w:r>
          </w:p>
        </w:tc>
      </w:tr>
      <w:tr w:rsidR="00D67334" w14:paraId="00AC6C58" w14:textId="77777777" w:rsidTr="00DA1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7" w:type="dxa"/>
            <w:vAlign w:val="center"/>
          </w:tcPr>
          <w:p w14:paraId="294910AF" w14:textId="77777777" w:rsidR="00D67334" w:rsidRDefault="00D67334" w:rsidP="00DA1414">
            <w:pPr>
              <w:spacing w:before="360" w:after="0"/>
              <w:rPr>
                <w:b w:val="0"/>
                <w:iCs/>
                <w:szCs w:val="18"/>
              </w:rPr>
            </w:pPr>
          </w:p>
        </w:tc>
        <w:tc>
          <w:tcPr>
            <w:tcW w:w="3207" w:type="dxa"/>
            <w:vAlign w:val="center"/>
          </w:tcPr>
          <w:p w14:paraId="7311D7A6" w14:textId="77777777" w:rsidR="00D67334" w:rsidRDefault="00D67334"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CC</w:t>
            </w:r>
          </w:p>
        </w:tc>
        <w:tc>
          <w:tcPr>
            <w:tcW w:w="3207" w:type="dxa"/>
            <w:vAlign w:val="center"/>
          </w:tcPr>
          <w:p w14:paraId="0E8ADF7D" w14:textId="77777777" w:rsidR="00D67334" w:rsidRDefault="00D67334"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0.284</w:t>
            </w:r>
          </w:p>
        </w:tc>
      </w:tr>
      <w:tr w:rsidR="00D67334" w14:paraId="1C0EE8AC" w14:textId="77777777" w:rsidTr="00DA1414">
        <w:tc>
          <w:tcPr>
            <w:cnfStyle w:val="001000000000" w:firstRow="0" w:lastRow="0" w:firstColumn="1" w:lastColumn="0" w:oddVBand="0" w:evenVBand="0" w:oddHBand="0" w:evenHBand="0" w:firstRowFirstColumn="0" w:firstRowLastColumn="0" w:lastRowFirstColumn="0" w:lastRowLastColumn="0"/>
            <w:tcW w:w="3207" w:type="dxa"/>
            <w:vAlign w:val="center"/>
          </w:tcPr>
          <w:p w14:paraId="71C52CB4" w14:textId="77777777" w:rsidR="00D67334" w:rsidRDefault="00D67334" w:rsidP="00DA1414">
            <w:pPr>
              <w:spacing w:before="360" w:after="0"/>
              <w:rPr>
                <w:b w:val="0"/>
                <w:iCs/>
                <w:szCs w:val="18"/>
              </w:rPr>
            </w:pPr>
          </w:p>
        </w:tc>
        <w:tc>
          <w:tcPr>
            <w:tcW w:w="3207" w:type="dxa"/>
            <w:vAlign w:val="center"/>
          </w:tcPr>
          <w:p w14:paraId="3450F333" w14:textId="77777777" w:rsidR="00D67334" w:rsidRDefault="00D67334"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CV</w:t>
            </w:r>
          </w:p>
        </w:tc>
        <w:tc>
          <w:tcPr>
            <w:tcW w:w="3207" w:type="dxa"/>
            <w:vAlign w:val="center"/>
          </w:tcPr>
          <w:p w14:paraId="208EA9A5" w14:textId="77777777" w:rsidR="00D67334" w:rsidRDefault="00D67334"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-0.843</w:t>
            </w:r>
          </w:p>
        </w:tc>
      </w:tr>
      <w:tr w:rsidR="00D67334" w14:paraId="3A9118A6" w14:textId="77777777" w:rsidTr="00DA1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7" w:type="dxa"/>
            <w:vAlign w:val="center"/>
          </w:tcPr>
          <w:p w14:paraId="0300DE23" w14:textId="77777777" w:rsidR="00D67334" w:rsidRDefault="00D67334" w:rsidP="00DA1414">
            <w:pPr>
              <w:spacing w:before="360" w:after="0"/>
              <w:rPr>
                <w:b w:val="0"/>
                <w:iCs/>
                <w:szCs w:val="18"/>
              </w:rPr>
            </w:pPr>
          </w:p>
        </w:tc>
        <w:tc>
          <w:tcPr>
            <w:tcW w:w="3207" w:type="dxa"/>
            <w:vAlign w:val="center"/>
          </w:tcPr>
          <w:p w14:paraId="53569B69" w14:textId="77777777" w:rsidR="00D67334" w:rsidRDefault="00D67334"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EB</w:t>
            </w:r>
          </w:p>
        </w:tc>
        <w:tc>
          <w:tcPr>
            <w:tcW w:w="3207" w:type="dxa"/>
            <w:vAlign w:val="center"/>
          </w:tcPr>
          <w:p w14:paraId="3C94FBEA" w14:textId="77777777" w:rsidR="00D67334" w:rsidRDefault="00D67334" w:rsidP="00DA1414">
            <w:pPr>
              <w:spacing w:before="360" w:after="0"/>
              <w:cnfStyle w:val="000000100000" w:firstRow="0" w:lastRow="0" w:firstColumn="0" w:lastColumn="0" w:oddVBand="0" w:evenVBand="0" w:oddHBand="1" w:evenHBand="0" w:firstRowFirstColumn="0" w:firstRowLastColumn="0" w:lastRowFirstColumn="0" w:lastRowLastColumn="0"/>
              <w:rPr>
                <w:b/>
                <w:iCs/>
                <w:szCs w:val="18"/>
              </w:rPr>
            </w:pPr>
            <w:r>
              <w:t>1.939</w:t>
            </w:r>
          </w:p>
        </w:tc>
      </w:tr>
      <w:tr w:rsidR="00D67334" w14:paraId="67C621D3" w14:textId="77777777" w:rsidTr="00DA1414">
        <w:tc>
          <w:tcPr>
            <w:cnfStyle w:val="001000000000" w:firstRow="0" w:lastRow="0" w:firstColumn="1" w:lastColumn="0" w:oddVBand="0" w:evenVBand="0" w:oddHBand="0" w:evenHBand="0" w:firstRowFirstColumn="0" w:firstRowLastColumn="0" w:lastRowFirstColumn="0" w:lastRowLastColumn="0"/>
            <w:tcW w:w="3207" w:type="dxa"/>
            <w:vAlign w:val="center"/>
          </w:tcPr>
          <w:p w14:paraId="6B6B6D92" w14:textId="77777777" w:rsidR="00D67334" w:rsidRDefault="00D67334" w:rsidP="00DA1414">
            <w:pPr>
              <w:spacing w:before="360" w:after="0"/>
              <w:rPr>
                <w:b w:val="0"/>
                <w:iCs/>
                <w:szCs w:val="18"/>
              </w:rPr>
            </w:pPr>
          </w:p>
        </w:tc>
        <w:tc>
          <w:tcPr>
            <w:tcW w:w="3207" w:type="dxa"/>
            <w:vAlign w:val="center"/>
          </w:tcPr>
          <w:p w14:paraId="13576F01" w14:textId="77777777" w:rsidR="00D67334" w:rsidRDefault="00D67334"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PLR</w:t>
            </w:r>
          </w:p>
        </w:tc>
        <w:tc>
          <w:tcPr>
            <w:tcW w:w="3207" w:type="dxa"/>
            <w:vAlign w:val="center"/>
          </w:tcPr>
          <w:p w14:paraId="1C4A41AC" w14:textId="77777777" w:rsidR="00D67334" w:rsidRDefault="00D67334" w:rsidP="00DA1414">
            <w:pPr>
              <w:spacing w:before="360" w:after="0"/>
              <w:cnfStyle w:val="000000000000" w:firstRow="0" w:lastRow="0" w:firstColumn="0" w:lastColumn="0" w:oddVBand="0" w:evenVBand="0" w:oddHBand="0" w:evenHBand="0" w:firstRowFirstColumn="0" w:firstRowLastColumn="0" w:lastRowFirstColumn="0" w:lastRowLastColumn="0"/>
              <w:rPr>
                <w:b/>
                <w:iCs/>
                <w:szCs w:val="18"/>
              </w:rPr>
            </w:pPr>
            <w:r>
              <w:t>0.820</w:t>
            </w:r>
          </w:p>
        </w:tc>
      </w:tr>
    </w:tbl>
    <w:p w14:paraId="2B51B0AA" w14:textId="34417BB7" w:rsidR="00584E53" w:rsidRDefault="00584E53" w:rsidP="00584E53">
      <w:pPr>
        <w:pStyle w:val="Heading1"/>
      </w:pPr>
      <w:bookmarkStart w:id="24" w:name="_Toc225146227"/>
      <w:r>
        <w:t>Discussion</w:t>
      </w:r>
      <w:bookmarkEnd w:id="24"/>
    </w:p>
    <w:p w14:paraId="7354EB84" w14:textId="51C7680F" w:rsidR="0085792B" w:rsidRPr="0085792B" w:rsidRDefault="0085792B" w:rsidP="0085792B">
      <w:pPr>
        <w:pStyle w:val="Heading2"/>
      </w:pPr>
      <w:bookmarkStart w:id="25" w:name="_Toc225146228"/>
      <w:r>
        <w:t>Overall patterns of genetic diversity and structure</w:t>
      </w:r>
      <w:bookmarkEnd w:id="25"/>
    </w:p>
    <w:p w14:paraId="0B0F2CC4" w14:textId="1FAE5454" w:rsidR="007B3476" w:rsidRDefault="007B3476" w:rsidP="007B3476">
      <w:r>
        <w:t xml:space="preserve">This study examined patterns of genetic diversity and structure across six sampling locations of </w:t>
      </w:r>
      <w:r w:rsidRPr="00484548">
        <w:rPr>
          <w:i/>
          <w:iCs/>
        </w:rPr>
        <w:t>D. plantarius</w:t>
      </w:r>
      <w:r>
        <w:t xml:space="preserve"> in East Sussex, including sites within the long-recognised Pevensey Levels core and several recently recorded outlying locations. A range of complementary analyses provided evidence of genetic structuring, which was more pronounced in the mitochondrial COI marker than in the nuclear H3 locus, despite the relatively small geographic scale of sampling. Genetic variation was unevenly distributed among sites, with a substantial proportion of total variance attributable to differences among locations rather than within them. Taken together, these findings suggest that the East Sussex system does not function as a single homogeneous population but instead comprises partially differentiated genetic units whose connectivity varies across the landscape.</w:t>
      </w:r>
    </w:p>
    <w:p w14:paraId="25CE0C0E" w14:textId="1A7EBC6C" w:rsidR="00356CE1" w:rsidRDefault="00356CE1" w:rsidP="00356CE1">
      <w:pPr>
        <w:pStyle w:val="Heading2"/>
      </w:pPr>
      <w:bookmarkStart w:id="26" w:name="_Toc225146229"/>
      <w:r>
        <w:t>Methodological considerations</w:t>
      </w:r>
      <w:bookmarkEnd w:id="26"/>
    </w:p>
    <w:p w14:paraId="64BE3EDA" w14:textId="06D81B2D" w:rsidR="00356CE1" w:rsidRDefault="00356CE1" w:rsidP="00356CE1">
      <w:r>
        <w:t xml:space="preserve">The use of complementary mitochondrial and nuclear markers provides a widely applied framework for assessing population genetic structure in non-model organisms. Mitochondrial COI remains one of the commonly used loci for detecting lineage structure and recent demographic processes, while nuclear protein-coding genes, such as Histone H3, provide an independent perspective on biparentally inherited variation </w:t>
      </w:r>
      <w:r>
        <w:fldChar w:fldCharType="begin"/>
      </w:r>
      <w:r>
        <w:instrText xml:space="preserve"> ADDIN ZOTERO_ITEM CSL_CITATION {"citationID":"204MpswF","properties":{"formattedCitation":"(Avise, 2000; Colgan et al., 1999; Folmer et al., 1994)","plainCitation":"(Avise, 2000; Colgan et al., 1999; Folmer et al., 1994)","noteIndex":0},"citationItems":[{"id":1380,"uris":["http://zotero.org/users/12168070/items/XCTKGJJC"],"itemData":{"id":1380,"type":"book","abstract":"Phylogeography is a discipline concerned with various relationships between gene genealogies--phylogenetics--and geography. The word\n\"phylogeography\" was coined in 1987, and since then the scientific literature has reflected an exploding interest in the topic. Yet, to date, no book-length treatment of this emerging field has\nappeared. &lt;em&gt;Phylogeography: The History and Formation of\nSpecies&lt;/em&gt; fills that gap. The study of phylogeography grew out of the observation that mitochondrial DNA lineages in natural\npopulations often display distinct geographic orientations. In\nrecent years, the field has expanded to include assessments of\nnuclear as well as cytoplasmic genomes and the relationships among gene trees, population demography, and organismal history, often\nformalized as coalescent theory. Phylogeography has connections to molecular evolutionary genetics, natural history, population\nbiology, paleontology, historical geography, and speciation\nanalysis. &lt;em&gt;Phylogeography&lt;/em&gt; captures the conceptual and\nempirical richness of the field, and also the sense of genuine\ninnovation that phylogeographic perspectives have brought to\nevolutionary studies. This book will be essential reading for\ngraduate students and professionals in evolutionary biology and\necology as well as for anyone interested in the emergence of this new and integrative discipline.","archive":"JSTOR","DOI":"10.2307/j.ctv1nzfgj7","ISBN":"978-0-674-66638-2","publisher":"Harvard University Press","title":"Phylogeography","URL":"http://www.jstor.org/stable/j.ctv1nzfgj7","author":[{"family":"Avise","given":"John C."}],"accessed":{"date-parts":[["2026",2,24]]},"issued":{"date-parts":[["2000"]]}}},{"id":1369,"uris":["http://zotero.org/users/12168070/items/32FQDT3Y"],"itemData":{"id":1369,"type":"article-journal","container-title":"Australian Journal of Zoology","DOI":"10.1071/ZO98048","journalAbbreviation":"Australian Journal of Zoology","page":"419-437","title":"Histone H3 and U2 snRNA DNA sequences and arthropod molecular evolution","volume":"46","author":[{"family":"Colgan","given":"David"},{"family":"McLauchlan","given":"A."},{"family":"Wilson","given":"George"},{"family":"Livingston","given":"S."},{"family":"Edgecombe","given":"Gregory"},{"family":"Macaranas","given":"J."},{"family":"Cassis","given":"Gerasimos"},{"family":"Gray","given":"M."}],"issued":{"date-parts":[["1999",2,26]]}}},{"id":1373,"uris":["http://zotero.org/users/12168070/items/57S8IBCS"],"itemData":{"id":1373,"type":"article-journal","abstract":"We describe \"universal\" DNA primers for polymerase chain reaction (PCR) amplification of a 710-bp fragment of the mitochondrial cytochrome c oxidase  subunit I gene (COI) from 11 invertebrate phyla: Echinodermata, Mollusca,  Annelida, Pogonophora, Arthropoda, Nemertinea, Echiura, Sipuncula,  Platyhelminthes, Tardigrada, and Coelenterata, as well as the putative phylum  Vestimentifera. Preliminary comparisons revealed that these COI primers generate  informative sequences for phylogenetic analyses at the species and higher  taxonomic levels.","container-title":"Molecular marine biology and biotechnology","ISSN":"1053-6426","issue":"5","journalAbbreviation":"Mol Mar Biol Biotechnol","language":"eng","page":"294-299","PMID":"7881515","publisher-place":"United States","title":"DNA primers for amplification of mitochondrial cytochrome c oxidase subunit I from diverse metazoan invertebrates.","volume":"3","author":[{"family":"Folmer","given":"O."},{"family":"Black","given":"M."},{"family":"Hoeh","given":"W."},{"family":"Lutz","given":"R."},{"family":"Vrijenhoek","given":"R."}],"issued":{"date-parts":[["1994",10]]}}}],"schema":"https://github.com/citation-style-language/schema/raw/master/csl-citation.json"} </w:instrText>
      </w:r>
      <w:r>
        <w:fldChar w:fldCharType="separate"/>
      </w:r>
      <w:r>
        <w:rPr>
          <w:rFonts w:cs="Arial"/>
        </w:rPr>
        <w:t>(Avise, 2000; Colgan et al., 1999; Folmer et al., 1994)</w:t>
      </w:r>
      <w:r>
        <w:fldChar w:fldCharType="end"/>
      </w:r>
      <w:r>
        <w:t xml:space="preserve">. Combining these marker types allows comparison between maternal lineage history and genome-wide connectivity signals, an approach frequently applied in arachnid and other invertebrate population studies (e.g. </w:t>
      </w:r>
      <w:r>
        <w:fldChar w:fldCharType="begin"/>
      </w:r>
      <w:r>
        <w:instrText xml:space="preserve"> ADDIN ZOTERO_ITEM CSL_CITATION {"citationID":"hFjjtqva","properties":{"formattedCitation":"(Crews &amp; Gillespie, 2010; Planas et al., 2013)","plainCitation":"(Crews &amp; Gillespie, 2010; Planas et al., 2013)","dontUpdate":true,"noteIndex":0},"citationItems":[{"id":1378,"uris":["http://zotero.org/users/12168070/items/IHYLYTSE"],"itemData":{"id":1378,"type":"article-journal","container-title":"Biological Journal of the Linnean Society","DOI":"10.1111/j.1095-8312.2010.01494.x","ISSN":"00244066","issue":"2","language":"en","license":"http://doi.wiley.com/10.1002/tdm_license_1","page":"288-322","source":"DOI.org (Crossref)","title":"Molecular systematics of Selenops spiders (Araneae: Selenopidae) from North and Central America: implications for Caribbean biogeography: SYSTEMATICS AND BIOGEOGRAPHY OF SELENOPS","title-short":"Molecular systematics of Selenops spiders (Araneae","volume":"101","author":[{"family":"Crews","given":"Sarah C."},{"family":"Gillespie","given":"Rosemary G."}],"issued":{"date-parts":[["2010",9,1]]}}},{"id":1377,"uris":["http://zotero.org/users/12168070/items/SJYE32TJ"],"itemData":{"id":1377,"type":"article-journal","abstract":"In this study, we present the first molecular phylogeny of the wolf spider genus Lycosa Latreille, 1804 in the Western Mediterranean Basin. With a wide geographic sampling comprising 90 localities and including more than 180 individuals, we conducted species delimitation analyses with a Maximum Likelihood approach that uses a mixed Yule-coalescent model to detect species boundaries. We estimated molecular phylogenetic relationships employing Maximum Likelihood and Bayesian Inference methods using mitochondrial and nuclear sequences. We conducted divergence time analyses using a relaxed clock model implemented in BEAST. Our results recovered 12 species that form four groups: Lycosa tarantula group comprising L. tarantula the type species of the genus, L. hispanica and L. bedeli; Lycosa oculata group composed of L.oculata, L. suboculata and three putative new species; Lycosa baulnyi group formed by the maghrebian L. baulnyi and L. vachoni and Lycosa fasciiventris group that includes two widespread species, L. fasciiventris and L. munieri. We found that each group of species shows a characteristic burrowing behavior and molecular and morphological diagnostic characters. Molecular clock analyses support the hypothesis of a relatively recent evolutionary origin of diversification of the group (4.96 Mya (3.53-6.45 Mya)). The establishment of the Mediterranean-like climate and the Pleistocenic glacial cycles seem to have been the main factors that promoted the diversification within the group. Finally, the results obtained in this study together with the revision of museum specimens, descriptions, redescriptions and illustrations, lead us to propose 18 nomenclatural changes (synonymies, generic transfers and nomina dubia) concerning the genera Lycosa, Allocosa and Hogna in the Western Mediterranean.","container-title":"Molecular phylogenetics and evolution","DOI":"10.1016/j.ympev.2013.02.006","ISSN":"1095-9513","issue":"2","journalAbbreviation":"Mol Phylogenet Evol","language":"eng","page":"414-428","PMID":"23416758","source":"Europe PMC","title":"Molecular systematics of the wolf spider genus Lycosa (Araneae: Lycosidae) in the Western Mediterranean Basin","title-short":"Molecular systematics of the wolf spider genus Lycosa (Araneae","volume":"67","author":[{"family":"Planas","given":"Enric"},{"family":"Fernández-Montraveta","given":"Carmen"},{"family":"Ribera","given":"Carles"}],"issued":{"date-parts":[["2013",5,1]]}}}],"schema":"https://github.com/citation-style-language/schema/raw/master/csl-citation.json"} </w:instrText>
      </w:r>
      <w:r>
        <w:fldChar w:fldCharType="separate"/>
      </w:r>
      <w:r>
        <w:rPr>
          <w:rFonts w:cs="Arial"/>
        </w:rPr>
        <w:t>Crews &amp; Gillespie, 2010; Planas et al., 2013)</w:t>
      </w:r>
      <w:r>
        <w:fldChar w:fldCharType="end"/>
      </w:r>
      <w:r>
        <w:t>.</w:t>
      </w:r>
    </w:p>
    <w:p w14:paraId="0DE70E03" w14:textId="3247533A" w:rsidR="00356CE1" w:rsidRDefault="00356CE1" w:rsidP="00356CE1">
      <w:r>
        <w:t>Marker-based approaches inevitably represent only a fraction of total genomic variation, yet they remain valuable for establishing baseline population structure, particularly where conservation constraints limit destructive sampling. The concordance among multiple analytical methods in the present study suggests that the inferred patterns are unlikely to result from marker-specific artefacts.</w:t>
      </w:r>
    </w:p>
    <w:p w14:paraId="5316E650" w14:textId="26D4CA00" w:rsidR="00356CE1" w:rsidRDefault="00356CE1" w:rsidP="00356CE1">
      <w:r>
        <w:lastRenderedPageBreak/>
        <w:t>Several analytical considerations warrant discussion. Measures of genetic diversity included both haplotype diversity (</w:t>
      </w:r>
      <w:proofErr w:type="spellStart"/>
      <w:r>
        <w:t>Hd</w:t>
      </w:r>
      <w:proofErr w:type="spellEnd"/>
      <w:r>
        <w:t xml:space="preserve">) and nucleotide diversity (π), which capture different properties of variation. Haplotype diversity reflects the probability that two individuals possess different haplotypes and therefore describes haplotype richness and evenness, whereas nucleotide diversity measures the average sequence divergence among individuals </w:t>
      </w:r>
      <w:r>
        <w:fldChar w:fldCharType="begin"/>
      </w:r>
      <w:r>
        <w:instrText xml:space="preserve"> ADDIN ZOTERO_ITEM CSL_CITATION {"citationID":"Slt4atf5","properties":{"formattedCitation":"(Nei, 1987)","plainCitation":"(Nei, 1987)","noteIndex":0},"citationItems":[{"id":517,"uris":["http://zotero.org/users/12168070/items/THXNYHSH"],"itemData":{"id":517,"type":"chapter","abstract":"Summarizes and reviews developments in molecular evolutionary genetics as one discipline rather than separate as molecular evolution and population genetics.","container-title":"Molecular Evolutionary Genetics","DOI":"10.7312/nei-92038","ISBN":"978-0-231-88671-0","language":"en","license":"De Gruyter expressly reserves the right to use all content for commercial text and data mining within the meaning of Section 44b of the German Copyright Act.","publisher":"Columbia University Press","source":"www.degruyter.com","title":"Molecular Evolutionary Genetics","URL":"https://www.degruyter.com/document/doi/10.7312/nei-92038/html","author":[{"family":"Nei","given":"Masatoshi"}],"accessed":{"date-parts":[["2024",3,12]]},"issued":{"date-parts":[["1987"]]}}}],"schema":"https://github.com/citation-style-language/schema/raw/master/csl-citation.json"} </w:instrText>
      </w:r>
      <w:r>
        <w:fldChar w:fldCharType="separate"/>
      </w:r>
      <w:r>
        <w:rPr>
          <w:rFonts w:cs="Arial"/>
        </w:rPr>
        <w:t>(Nei, 1987)</w:t>
      </w:r>
      <w:r>
        <w:fldChar w:fldCharType="end"/>
      </w:r>
      <w:r>
        <w:t>. Consequently, populations may exhibit high haplotype diversity but low nucleotide diversity when many closely related haplotypes are present, a pattern often associated with historical population expansion following a reduction in population size (Grant &amp; Bowen, 1998).</w:t>
      </w:r>
    </w:p>
    <w:p w14:paraId="652B9C46" w14:textId="42E5D4BB" w:rsidR="00356CE1" w:rsidRDefault="00356CE1" w:rsidP="00356CE1">
      <w:r>
        <w:t>Discriminant Analysis of Principal Components (DAPC) was used to visualise clustering among predefined populations. DAPC does not assume Hardy</w:t>
      </w:r>
      <w:r w:rsidR="007F4309">
        <w:t>-</w:t>
      </w:r>
      <w:r>
        <w:t xml:space="preserve">Weinberg equilibrium and is therefore well suited to structured populations; however, clustering outcomes may be influenced by unequal sample sizes, and results should be interpreted alongside complementary statistics rather than in isolation </w:t>
      </w:r>
      <w:r>
        <w:fldChar w:fldCharType="begin"/>
      </w:r>
      <w:r>
        <w:instrText xml:space="preserve"> ADDIN ZOTERO_ITEM CSL_CITATION {"citationID":"qgHqGhRl","properties":{"formattedCitation":"(Jombart et al., 2010)","plainCitation":"(Jombart et al., 2010)","noteIndex":0},"citationItems":[{"id":1367,"uris":["http://zotero.org/users/12168070/items/CGAAJTIQ"],"itemData":{"id":1367,"type":"article-journal","container-title":"BMC Genetics","DOI":"10.1186/1471-2156-11-94","page":"94","title":"Discriminant analysis of principal components: a new method for the analysis of genetically structured populations","volume":"11","author":[{"family":"Jombart","given":"Thibaut"},{"family":"Devillard","given":"Sébastien"},{"family":"Balloux","given":"François"}],"issued":{"date-parts":[["2010"]]}}}],"schema":"https://github.com/citation-style-language/schema/raw/master/csl-citation.json"} </w:instrText>
      </w:r>
      <w:r>
        <w:fldChar w:fldCharType="separate"/>
      </w:r>
      <w:r>
        <w:rPr>
          <w:rFonts w:cs="Arial"/>
        </w:rPr>
        <w:t>(Jombart et al., 2010)</w:t>
      </w:r>
      <w:r>
        <w:fldChar w:fldCharType="end"/>
      </w:r>
      <w:r>
        <w:t xml:space="preserve">. Similarly, pairwise F_ST estimates provide useful comparative measures of differentiation but may benefit from permutation-based significance testing in future analyses to further quantify statistical support </w:t>
      </w:r>
      <w:r>
        <w:fldChar w:fldCharType="begin"/>
      </w:r>
      <w:r>
        <w:instrText xml:space="preserve"> ADDIN ZOTERO_ITEM CSL_CITATION {"citationID":"kN7zScZw","properties":{"formattedCitation":"(Weir &amp; Cockerham, 1984)","plainCitation":"(Weir &amp; Cockerham, 1984)","noteIndex":0},"citationItems":[{"id":1362,"uris":["http://zotero.org/users/12168070/items/KUPCPHFU"],"itemData":{"id":1362,"type":"article-journal","container-title":"Evolution","DOI":"10.2307/2408641","issue":"6","page":"1358–1370","title":"Estimating F-statistics for the analysis of population structure","volume":"38","author":[{"family":"Weir","given":"B. S."},{"family":"Cockerham","given":"C. Clark"}],"issued":{"date-parts":[["1984"]]}}}],"schema":"https://github.com/citation-style-language/schema/raw/master/csl-citation.json"} </w:instrText>
      </w:r>
      <w:r>
        <w:fldChar w:fldCharType="separate"/>
      </w:r>
      <w:r>
        <w:rPr>
          <w:rFonts w:cs="Arial"/>
        </w:rPr>
        <w:t>(Weir &amp; Cockerham, 1984)</w:t>
      </w:r>
      <w:r>
        <w:fldChar w:fldCharType="end"/>
      </w:r>
      <w:r>
        <w:t>.</w:t>
      </w:r>
    </w:p>
    <w:p w14:paraId="70CDE9C0" w14:textId="33510433" w:rsidR="00356CE1" w:rsidRDefault="00356CE1" w:rsidP="00356CE1">
      <w:r>
        <w:t>Together, these methodological choices follow established practice in molecular ecology and enable cautious yet informative inference about population connectivity.</w:t>
      </w:r>
    </w:p>
    <w:p w14:paraId="18BA767F" w14:textId="7F1CCE15" w:rsidR="00356CE1" w:rsidRDefault="00356CE1" w:rsidP="00356CE1">
      <w:pPr>
        <w:pStyle w:val="Heading2"/>
      </w:pPr>
      <w:bookmarkStart w:id="27" w:name="_Toc225146230"/>
      <w:r>
        <w:t>Interpretation of population genetic patterns</w:t>
      </w:r>
      <w:bookmarkEnd w:id="27"/>
    </w:p>
    <w:p w14:paraId="4A257FDE" w14:textId="1DD2164D" w:rsidR="00356CE1" w:rsidRDefault="00356CE1" w:rsidP="00356CE1">
      <w:r>
        <w:t>Across all analyses, genetic structuring was detected, though its strength varied between markers and population pairs. Multiple haplotypes were recovered from both mitochondrial and nuclear loci, demonstrating that populations are genetically variable rather than homogeneous despite their restricted distribution.</w:t>
      </w:r>
    </w:p>
    <w:p w14:paraId="7D5F695C" w14:textId="4997DAB9" w:rsidR="00356CE1" w:rsidRDefault="00356CE1" w:rsidP="00FD3734">
      <w:pPr>
        <w:pStyle w:val="Heading3"/>
      </w:pPr>
      <w:bookmarkStart w:id="28" w:name="_Toc225146231"/>
      <w:r>
        <w:t>Genetic diversity and demographic signals</w:t>
      </w:r>
      <w:bookmarkEnd w:id="28"/>
    </w:p>
    <w:p w14:paraId="240D6E7E" w14:textId="0EC6A147" w:rsidR="00356CE1" w:rsidRDefault="00356CE1" w:rsidP="00356CE1">
      <w:r>
        <w:t xml:space="preserve">Variation in haplotype and nucleotide diversity among populations suggests differences in local demographic history, effective population size, or historical connectivity. Importantly, haplotype diversity did not consistently correlate with nucleotide diversity, suggesting that some populations harbour multiple closely related haplotypes rather than deeply divergent lineages. Such patterns are consistent with alternative demographic scenarios, including historical population reduction followed by expansion or long-term persistence of ancestral variation </w:t>
      </w:r>
      <w:r>
        <w:fldChar w:fldCharType="begin"/>
      </w:r>
      <w:r>
        <w:instrText xml:space="preserve"> ADDIN ZOTERO_ITEM CSL_CITATION {"citationID":"iA0Tjo0j","properties":{"formattedCitation":"(Avise, 2000; Grant &amp; Bowen, 1998)","plainCitation":"(Avise, 2000; Grant &amp; Bowen, 1998)","noteIndex":0},"citationItems":[{"id":1380,"uris":["http://zotero.org/users/12168070/items/XCTKGJJC"],"itemData":{"id":1380,"type":"book","abstract":"Phylogeography is a discipline concerned with various relationships between gene genealogies--phylogenetics--and geography. The word\n\"phylogeography\" was coined in 1987, and since then the scientific literature has reflected an exploding interest in the topic. Yet, to date, no book-length treatment of this emerging field has\nappeared. &lt;em&gt;Phylogeography: The History and Formation of\nSpecies&lt;/em&gt; fills that gap. The study of phylogeography grew out of the observation that mitochondrial DNA lineages in natural\npopulations often display distinct geographic orientations. In\nrecent years, the field has expanded to include assessments of\nnuclear as well as cytoplasmic genomes and the relationships among gene trees, population demography, and organismal history, often\nformalized as coalescent theory. Phylogeography has connections to molecular evolutionary genetics, natural history, population\nbiology, paleontology, historical geography, and speciation\nanalysis. &lt;em&gt;Phylogeography&lt;/em&gt; captures the conceptual and\nempirical richness of the field, and also the sense of genuine\ninnovation that phylogeographic perspectives have brought to\nevolutionary studies. This book will be essential reading for\ngraduate students and professionals in evolutionary biology and\necology as well as for anyone interested in the emergence of this new and integrative discipline.","archive":"JSTOR","DOI":"10.2307/j.ctv1nzfgj7","ISBN":"978-0-674-66638-2","publisher":"Harvard University Press","title":"Phylogeography","URL":"http://www.jstor.org/stable/j.ctv1nzfgj7","author":[{"family":"Avise","given":"John C."}],"accessed":{"date-parts":[["2026",2,24]]},"issued":{"date-parts":[["2000"]]}}},{"id":1381,"uris":["http://zotero.org/users/12168070/items/6BJ2IUW2"],"itemData":{"id":1381,"type":"article-journal","abstract":"Most surveys of mitochondrial DNA (mtDNA) in marine fishes reveal low levels of sequence divergence between haplotypes relative to the differentiation observed between sister taxa. It is unclear whether this pattern is due to rapid lineage sorting accelerated by sweepstakes recruitment, historical bottlenecks in population size, founder events, or natural selection, any of which could retard the accumulation of deep mtDNA lineages. Recent advances in paleoclimate research prompt a reexamination of oceanographic processes as a fundamental influence on genetic diversity; evidence from ice cores and anaerobic marine sediments document strong regime shifts in the world's oceans in concert with periodic climatic changes. These changes in sea surface temperatures, current pathways, upwelling intensities, and retention eddies are likely harbingers of severe fluctuations in population size or regional extinctions. Sardines (Sardina, Sardinops) and anchovies (Engraulis) are used to assess the consequences of such oceanographic processes on marine fish intrageneric gene genealogies. Representatives of these two groups occur in temperate boundary currents on a global scale, and these regional populations are known to fluctuate markedly. Biogeographic and genetic data indicate that Sardinops has persisted for at least 20 million years, yet the mtDNA genealogy for this group coalesces in less than half a million years and points to a recent founding of populations around the rim of the Indian-Pacific Ocean. Phylogeographic analysis of Old World anchovies reveals a Pleistocene dispersal from the Pacific to the Atlantic, almost certainly via southern Africa, followed by a very recent recolonization from Europe to southern Africa. These results demonstrate that regional populations of sardines and anchovies are subject to periodic extinctions and recolonizations. Such climate-associated dynamics may explain the low levels of nucleotide diversity and the shallow coalescence of mtDNA genealogies. If these findings apply generally to marine fishes, management strategies should incorporate the idea that even extremely abundant populations may be relatively fragile on ecological and evolutionary time scales.","container-title":"Journal of Heredity","DOI":"10.1093/jhered/89.5.415","ISSN":"0022-1503","issue":"5","journalAbbreviation":"J Hered","page":"415-426","title":"Shallow population histories in deep evolutionary lineages of marine fishes: insights from sardines and anchovies and lessons for conservation","volume":"89","author":[{"family":"Grant","given":"WAS"},{"family":"Bowen","given":"BW"}],"issued":{"date-parts":[["1998"]]}}}],"schema":"https://github.com/citation-style-language/schema/raw/master/csl-citation.json"} </w:instrText>
      </w:r>
      <w:r>
        <w:fldChar w:fldCharType="separate"/>
      </w:r>
      <w:r>
        <w:rPr>
          <w:rFonts w:cs="Arial"/>
        </w:rPr>
        <w:t>(Avise, 2000; Grant &amp; Bowen, 1998)</w:t>
      </w:r>
      <w:r>
        <w:fldChar w:fldCharType="end"/>
      </w:r>
      <w:r>
        <w:t>.</w:t>
      </w:r>
    </w:p>
    <w:p w14:paraId="74DE54D6" w14:textId="76DD692B" w:rsidR="00356CE1" w:rsidRDefault="00356CE1" w:rsidP="00356CE1">
      <w:r>
        <w:t xml:space="preserve">Tajima’s D values were generally consistent with neutral expectations and did not indicate strong recent bottlenecks or selective sweeps detectable at these loci. </w:t>
      </w:r>
      <w:r>
        <w:lastRenderedPageBreak/>
        <w:t xml:space="preserve">However, with per-population sample sizes of six to eleven individuals, </w:t>
      </w:r>
      <w:r w:rsidR="001C7A8F">
        <w:t>the statistical power to detect demographic signals is limited, and these results should be interpreted with caution</w:t>
      </w:r>
      <w:r>
        <w:t xml:space="preserve"> rather than as positive evidence for long-term persistence.</w:t>
      </w:r>
    </w:p>
    <w:p w14:paraId="520EFC0B" w14:textId="1B4E1D8F" w:rsidR="000D5FBE" w:rsidRDefault="005048D6" w:rsidP="00FD3734">
      <w:pPr>
        <w:pStyle w:val="Heading3"/>
      </w:pPr>
      <w:bookmarkStart w:id="29" w:name="_Toc225146232"/>
      <w:r>
        <w:t>Mitochondrial vs nuclear patterns</w:t>
      </w:r>
      <w:bookmarkEnd w:id="29"/>
    </w:p>
    <w:p w14:paraId="2A16E178" w14:textId="69574E56" w:rsidR="000D5FBE" w:rsidRDefault="000D5FBE" w:rsidP="000D5FBE">
      <w:r>
        <w:t>Contrasting genetic patterns were observed between the mitochondrial COI marker and the nuclear H3 locus, consistent with the differing inheritance modes and evolutionary rates of mitochondrial and nuclear DNA introduced above. The COI haplotype network was characterised by a dominant central haplotype surrounded by several low-frequency derivatives, a pattern commonly associated with shared ancestry followed by local divergence among sites. In contrast, the H3 network exhibited a more interconnected structure, with haplotypes broadly shared across locations and weaker population separation.</w:t>
      </w:r>
    </w:p>
    <w:p w14:paraId="556D5BBD" w14:textId="7F126666" w:rsidR="000D5FBE" w:rsidRDefault="000D5FBE" w:rsidP="000D5FBE">
      <w:r>
        <w:t xml:space="preserve">Such differences between mitochondrial and nuclear markers are expected. Mitochondrial DNA is maternally inherited, effectively haploid, and typically has a smaller effective population size than nuclear DNA, allowing lineage sorting and genetic differentiation to occur more rapidly </w:t>
      </w:r>
      <w:r>
        <w:fldChar w:fldCharType="begin"/>
      </w:r>
      <w:r>
        <w:instrText xml:space="preserve"> ADDIN ZOTERO_ITEM CSL_CITATION {"citationID":"6qeR8MOl","properties":{"formattedCitation":"(Avise, 2000; Ballard &amp; Whitlock, 2004)","plainCitation":"(Avise, 2000; Ballard &amp; Whitlock, 2004)","noteIndex":0},"citationItems":[{"id":1380,"uris":["http://zotero.org/users/12168070/items/XCTKGJJC"],"itemData":{"id":1380,"type":"book","abstract":"Phylogeography is a discipline concerned with various relationships between gene genealogies--phylogenetics--and geography. The word\n\"phylogeography\" was coined in 1987, and since then the scientific literature has reflected an exploding interest in the topic. Yet, to date, no book-length treatment of this emerging field has\nappeared. &lt;em&gt;Phylogeography: The History and Formation of\nSpecies&lt;/em&gt; fills that gap. The study of phylogeography grew out of the observation that mitochondrial DNA lineages in natural\npopulations often display distinct geographic orientations. In\nrecent years, the field has expanded to include assessments of\nnuclear as well as cytoplasmic genomes and the relationships among gene trees, population demography, and organismal history, often\nformalized as coalescent theory. Phylogeography has connections to molecular evolutionary genetics, natural history, population\nbiology, paleontology, historical geography, and speciation\nanalysis. &lt;em&gt;Phylogeography&lt;/em&gt; captures the conceptual and\nempirical richness of the field, and also the sense of genuine\ninnovation that phylogeographic perspectives have brought to\nevolutionary studies. This book will be essential reading for\ngraduate students and professionals in evolutionary biology and\necology as well as for anyone interested in the emergence of this new and integrative discipline.","archive":"JSTOR","DOI":"10.2307/j.ctv1nzfgj7","ISBN":"978-0-674-66638-2","publisher":"Harvard University Press","title":"Phylogeography","URL":"http://www.jstor.org/stable/j.ctv1nzfgj7","author":[{"family":"Avise","given":"John C."}],"accessed":{"date-parts":[["2026",2,24]]},"issued":{"date-parts":[["2000"]]}}},{"id":1382,"uris":["http://zotero.org/users/12168070/items/TTXQ8F63"],"itemData":{"id":1382,"type":"article-journal","abstract":"Mitochondrial DNA (mtDNA) has been used to study molecular ecology and phylogeography for 25 years. Much important information has been gained in this way, but it is time to reflect on the biology of the mitochondrion itself and consider opportunities for evolutionary studies of the organelle itself and its ecology, biochemistry and physiology. This review has four sections. First, we review aspects of the natural history of mitochondria and their DNA to show that it is a unique molecule with specific characteristics that differ from nuclear DNA. We do not attempt to cover the plethora of differences between mitochondrial and nuclear DNA; rather we spotlight differences that can cause significant bias when inferring demographic properties of populations and/or the evolutionary history of species. We focus on recombination, effective population size and mutation rate. Second, we explore some of the difficulties in interpreting phylogeographical data from mtDNA data alone and suggest a broader use of multiple nuclear markers. We argue that mtDNA is not a sufficient marker for phylogeographical studies if the focus of the investigation is the species and not the organelle. We focus on the potential bias caused by introgression. Third, we show that it is not safe to assume a priori that mtDNA evolves as a strictly neutral marker because both direct and indirect selection influence mitochondria. We outline some of the statistical tests of neutrality that can, and should, be applied to mtDNA sequence data prior to making any global statements concerning the history of the organism. We conclude with a critical examination of the neglected biology of mitochondria and point out several surprising gaps in the state of our knowledge about this important organelle. Here we limelight mitochondrial ecology, sexually antagonistic selection, life-history evolution including ageing and disease, and the evolution of mitochondrial inheritance.","container-title":"Molecular Ecology","DOI":"10.1046/j.1365-294x.2003.02063.x","ISSN":"0962-1083","issue":"4","journalAbbreviation":"Mol Ecol","language":"eng","page":"729-744","PMID":"15012752","source":"PubMed","title":"The incomplete natural history of mitochondria","volume":"13","author":[{"family":"Ballard","given":"J. William O."},{"family":"Whitlock","given":"Michael C."}],"issued":{"date-parts":[["2004",4]]}}}],"schema":"https://github.com/citation-style-language/schema/raw/master/csl-citation.json"} </w:instrText>
      </w:r>
      <w:r>
        <w:fldChar w:fldCharType="separate"/>
      </w:r>
      <w:r>
        <w:rPr>
          <w:rFonts w:cs="Arial"/>
        </w:rPr>
        <w:t>(Avise, 2000; Ballard &amp; Whitlock, 2004)</w:t>
      </w:r>
      <w:r>
        <w:fldChar w:fldCharType="end"/>
      </w:r>
      <w:r>
        <w:t xml:space="preserve">. Nuclear loci, inherited from both parents and subject to recombination, generally retain signatures of gene flow over longer timescales and therefore often display weaker spatial structure </w:t>
      </w:r>
      <w:r>
        <w:fldChar w:fldCharType="begin"/>
      </w:r>
      <w:r>
        <w:instrText xml:space="preserve"> ADDIN ZOTERO_ITEM CSL_CITATION {"citationID":"JQHTlLeK","properties":{"formattedCitation":"(Zink &amp; Barrowclough, 2008)","plainCitation":"(Zink &amp; Barrowclough, 2008)","noteIndex":0},"citationItems":[{"id":1384,"uris":["http://zotero.org/users/12168070/items/F6D922YR"],"itemData":{"id":1384,"type":"article-journal","abstract":"Abstract Mitochondrial DNA (mtDNA) has been the workhorse of research in phylogeography for almost two decades. However, concerns with basing evolutionary interpretations on mtDNA results alone have been voiced since the inception of such studies. Recently, some authors have suggested that the potential problems with mtDNA are so great that inferences about population structure and species limits are unwarranted unless corroborated by other evidence, usually in the form of nuclear gene data. Here we review the relative merits of mitochondrial and nuclear phylogeographical studies, using birds as an exemplar class of organisms. A review of population demographic and genetic theory indicates that mitochondrial and nuclear phylogeographical results ought to concur for both geographically unstructured populations and for populations that have long histories of isolation. However, a relatively common occurrence will be shallow, but geographically structured mtDNA trees?without nuclear gene corroboration?for populations with relatively shorter periods of isolation. This is expected because of the longer coalescence times of nuclear genes (approximately four times that of mtDNA); such cases do not contradict the mtDNA inference of recent isolation and evolutionary divergence. Rather, the nuclear markers are more lagging indicators of changes in population structure. A review of the recent literature on birds reveals the existence of relatively few cases in which nuclear markers contradict mitochondrial markers in a fashion not consistent with coalescent theory. Preliminary information from nuclear genes suggests that mtDNA patterns will prove to be robust indicators of patterns of population history and species limits. At equilibrium, mitochondrial loci are generally a more sensitive indicator of population structure than are nuclear loci, and mitochondrial estimates of FST-like statistics are generally expected to exceed nuclear ones. Hence, invoking behavioural or ecological explanations of such differences is not parsimonious. Nuclear genes will prove important for quantitative estimates of the depths of haplotype trees, rates of population growth and values of gene flow.","container-title":"Molecular Ecology","DOI":"10.1111/j.1365-294X.2008.03737.x","ISSN":"0962-1083","issue":"9","journalAbbreviation":"Molecular Ecology","page":"2107-2121","publisher":"John Wiley &amp; Sons, Ltd","title":"Mitochondrial DNA under siege in avian phylogeography","volume":"17","author":[{"family":"Zink","given":"Robert M."},{"family":"Barrowclough","given":"George F."}],"issued":{"date-parts":[["2008",5,1]]}}}],"schema":"https://github.com/citation-style-language/schema/raw/master/csl-citation.json"} </w:instrText>
      </w:r>
      <w:r>
        <w:fldChar w:fldCharType="separate"/>
      </w:r>
      <w:r>
        <w:rPr>
          <w:rFonts w:cs="Arial"/>
        </w:rPr>
        <w:t>(Zink &amp; Barrowclough, 2008)</w:t>
      </w:r>
      <w:r>
        <w:fldChar w:fldCharType="end"/>
      </w:r>
      <w:r>
        <w:t>. The more structured COI pattern observed here likely reflects sensitivity to female-mediated dispersal history, whereas the broader sharing of H3 haplotypes suggests that some level of biparental genetic connectivity persists among sites.</w:t>
      </w:r>
    </w:p>
    <w:p w14:paraId="484BF091" w14:textId="716DFBB7" w:rsidR="000D5FBE" w:rsidRPr="000D5FBE" w:rsidRDefault="000D5FBE" w:rsidP="000D5FBE">
      <w:r>
        <w:t xml:space="preserve">One plausible explanation is that certain locations were established by relatively small numbers of founding females, producing reduced mitochondrial diversity through founder effects, while continued mating with multiple males maintained nuclear genetic variation. Similar mitochondrial–nuclear discordance has been reported in several spider systems and other invertebrates, where colonisation dynamics, sex-biased dispersal, or stochastic founder events generate stronger structure in mitochondrial markers than in nuclear loci </w:t>
      </w:r>
      <w:r>
        <w:fldChar w:fldCharType="begin"/>
      </w:r>
      <w:r>
        <w:instrText xml:space="preserve"> ADDIN ZOTERO_ITEM CSL_CITATION {"citationID":"Skt57fqX","properties":{"formattedCitation":"(Crews &amp; Gillespie, 2010; Planas et al., 2013)","plainCitation":"(Crews &amp; Gillespie, 2010; Planas et al., 2013)","noteIndex":0},"citationItems":[{"id":1378,"uris":["http://zotero.org/users/12168070/items/IHYLYTSE"],"itemData":{"id":1378,"type":"article-journal","container-title":"Biological Journal of the Linnean Society","DOI":"10.1111/j.1095-8312.2010.01494.x","ISSN":"00244066","issue":"2","language":"en","license":"http://doi.wiley.com/10.1002/tdm_license_1","page":"288-322","source":"DOI.org (Crossref)","title":"Molecular systematics of Selenops spiders (Araneae: Selenopidae) from North and Central America: implications for Caribbean biogeography: SYSTEMATICS AND BIOGEOGRAPHY OF SELENOPS","title-short":"Molecular systematics of Selenops spiders (Araneae","volume":"101","author":[{"family":"Crews","given":"Sarah C."},{"family":"Gillespie","given":"Rosemary G."}],"issued":{"date-parts":[["2010",9,1]]}}},{"id":1377,"uris":["http://zotero.org/users/12168070/items/SJYE32TJ"],"itemData":{"id":1377,"type":"article-journal","abstract":"In this study, we present the first molecular phylogeny of the wolf spider genus Lycosa Latreille, 1804 in the Western Mediterranean Basin. With a wide geographic sampling comprising 90 localities and including more than 180 individuals, we conducted species delimitation analyses with a Maximum Likelihood approach that uses a mixed Yule-coalescent model to detect species boundaries. We estimated molecular phylogenetic relationships employing Maximum Likelihood and Bayesian Inference methods using mitochondrial and nuclear sequences. We conducted divergence time analyses using a relaxed clock model implemented in BEAST. Our results recovered 12 species that form four groups: Lycosa tarantula group comprising L. tarantula the type species of the genus, L. hispanica and L. bedeli; Lycosa oculata group composed of L.oculata, L. suboculata and three putative new species; Lycosa baulnyi group formed by the maghrebian L. baulnyi and L. vachoni and Lycosa fasciiventris group that includes two widespread species, L. fasciiventris and L. munieri. We found that each group of species shows a characteristic burrowing behavior and molecular and morphological diagnostic characters. Molecular clock analyses support the hypothesis of a relatively recent evolutionary origin of diversification of the group (4.96 Mya (3.53-6.45 Mya)). The establishment of the Mediterranean-like climate and the Pleistocenic glacial cycles seem to have been the main factors that promoted the diversification within the group. Finally, the results obtained in this study together with the revision of museum specimens, descriptions, redescriptions and illustrations, lead us to propose 18 nomenclatural changes (synonymies, generic transfers and nomina dubia) concerning the genera Lycosa, Allocosa and Hogna in the Western Mediterranean.","container-title":"Molecular phylogenetics and evolution","DOI":"10.1016/j.ympev.2013.02.006","ISSN":"1095-9513","issue":"2","journalAbbreviation":"Mol Phylogenet Evol","language":"eng","page":"414-428","PMID":"23416758","source":"Europe PMC","title":"Molecular systematics of the wolf spider genus Lycosa (Araneae: Lycosidae) in the Western Mediterranean Basin","title-short":"Molecular systematics of the wolf spider genus Lycosa (Araneae","volume":"67","author":[{"family":"Planas","given":"Enric"},{"family":"Fernández-Montraveta","given":"Carmen"},{"family":"Ribera","given":"Carles"}],"issued":{"date-parts":[["2013",5,1]]}}}],"schema":"https://github.com/citation-style-language/schema/raw/master/csl-citation.json"} </w:instrText>
      </w:r>
      <w:r>
        <w:fldChar w:fldCharType="separate"/>
      </w:r>
      <w:r>
        <w:rPr>
          <w:rFonts w:cs="Arial"/>
        </w:rPr>
        <w:t>(Crews &amp; Gillespie, 2010; Planas et al., 2013)</w:t>
      </w:r>
      <w:r>
        <w:fldChar w:fldCharType="end"/>
      </w:r>
      <w:r>
        <w:t xml:space="preserve">. Taken together, the contrasting signals from COI and H3 suggest a history of colonisation followed by ongoing, but limited, connectivity among sites. Rather than indicating complete isolation, the combined marker evidence supports a scenario in which populations share historical ancestry yet experience restricted contemporary gene flow within a fragmented wetland landscape. An alternative, non-exclusive explanation is that some sites have become more recently isolated than the marker data can currently resolve; the genetic signal of such recent isolation may not yet be fully </w:t>
      </w:r>
      <w:r w:rsidR="00B66FC7">
        <w:t>detectable and</w:t>
      </w:r>
      <w:r>
        <w:t xml:space="preserve"> </w:t>
      </w:r>
      <w:r w:rsidR="001C7A8F">
        <w:t>is expected to become more apparent in</w:t>
      </w:r>
      <w:r>
        <w:t xml:space="preserve"> subsequent generations.</w:t>
      </w:r>
    </w:p>
    <w:p w14:paraId="092D6E9B" w14:textId="77777777" w:rsidR="005048D6" w:rsidRDefault="005048D6" w:rsidP="00FD3734">
      <w:pPr>
        <w:pStyle w:val="Heading3"/>
      </w:pPr>
      <w:bookmarkStart w:id="30" w:name="_Toc225146233"/>
      <w:r>
        <w:lastRenderedPageBreak/>
        <w:t>Spatial structure and connectivity</w:t>
      </w:r>
      <w:bookmarkEnd w:id="30"/>
    </w:p>
    <w:p w14:paraId="7BD1720E" w14:textId="40F46EA7" w:rsidR="007B3476" w:rsidRDefault="007B3476" w:rsidP="007B3476">
      <w:r>
        <w:t>Across sites, haplotype distributions revealed a mixture of shared and private genetic variants. The presence of private haplotypes indicates local divergence and restricted gene flow at some locations, while the absence of any site composed entirely of unique haplotypes suggests that complete historical isolation has not occurred. Instead, the system appears to retain signatures of shared ancestry alongside emerging differentiation.</w:t>
      </w:r>
    </w:p>
    <w:p w14:paraId="114B9DA3" w14:textId="7C45CC3D" w:rsidR="007B3476" w:rsidRDefault="007B3476" w:rsidP="007B3476">
      <w:r>
        <w:t>Multiple analytical approaches converged on this interpretation. AMOVA demonstrated that a substantial proportion of genetic variance was attributable to differences among sites, and both DAPC clustering and pairwise F_ST estimates indicated uneven differentiation across the landscape. Importantly, differentiation was not uniformly distributed: certain sites contributed disproportionately to overall structure, whereas others showed substantial overlap. This pattern is consistent with spatially heterogeneous connectivity rather than simple isolation across the region.</w:t>
      </w:r>
    </w:p>
    <w:p w14:paraId="053256E6" w14:textId="2FA51795" w:rsidR="007B3476" w:rsidRDefault="007B3476" w:rsidP="007B3476">
      <w:r>
        <w:t xml:space="preserve">Notably, isolation-by-distance was not detected for either marker. Genetic differentiation did not increase predictably with geographic distance, suggesting that linear separation alone does not explain population structure within this system. For habitat specialists occupying fragmented wetlands, dispersal opportunity is often governed more strongly by habitat configuration, patch connectivity, and landscape permeability than by Euclidean distance </w:t>
      </w:r>
      <w:r>
        <w:fldChar w:fldCharType="begin"/>
      </w:r>
      <w:r>
        <w:instrText xml:space="preserve"> ADDIN ZOTERO_ITEM CSL_CITATION {"citationID":"swlgJa9Z","properties":{"formattedCitation":"(Baguette et al., 2013; Hanski, 1999; Lowe &amp; Allendorf, 2010)","plainCitation":"(Baguette et al., 2013; Hanski, 1999; Lowe &amp; Allendorf, 2010)","noteIndex":0},"citationItems":[{"id":1387,"uris":["http://zotero.org/users/12168070/items/46IKI348"],"itemData":{"id":1387,"type":"article-journal","abstract":"Connectivity is classically considered an emergent property of landscapes encapsulating individuals' flows across space. However, its operational use  requires a precise understanding of why and how organisms disperse. Such  movements, and hence landscape connectivity, will obviously vary according to  both organism properties and landscape features. We review whether landscape  connectivity estimates could gain in both precision and generality by  incorporating three fundamental outcomes of dispersal theory. Firstly, dispersal  is a multi-causal process; its restriction to an 'escape reaction' to  environmental unsuitability is an oversimplification, as dispersing individuals  can leave excellent quality habitat patches or stay in poor-quality habitats  according to the relative costs and benefits of dispersal and philopatry.  Secondly, species, populations and individuals do not always react similarly to  those cues that trigger dispersal, which sometimes results in contrasting  dispersal strategies. Finally, dispersal is a major component of fitness and is  thus under strong selective pressures, which could generate rapid adaptations of  dispersal strategies. Such evolutionary responses will entail spatiotemporal  variation in landscape connectivity. We thus strongly recommend the use of  genetic tools to: (i) assess gene flow intensity and direction among populations  in a given landscape; and (ii) accurately estimate landscape features impacting  gene flow, and hence landscape connectivity. Such approaches will provide the  basic data for planning corridors or stepping stones aiming at (re)connecting  local populations of a given species in a given landscape. This strategy is  clearly species- and landscape-specific. But we suggest that the ecological  network in a given landscape could be designed by stacking up such linkages  designed for several species living in different ecosystems. This procedure  relies on the use of umbrella species that are representative of other species  living in the same ecosystem.","container-title":"Biological reviews of the Cambridge Philosophical Society","DOI":"10.1111/brv.12000","ISSN":"1469-185X 0006-3231","issue":"2","journalAbbreviation":"Biol Rev Camb Philos Soc","language":"eng","license":"© 2012 The Authors. Biological Reviews © 2012 Cambridge Philosophical Society.","page":"310-326","PMID":"23176626","publisher-place":"England","title":"Individual dispersal, landscape connectivity and ecological networks.","volume":"88","author":[{"family":"Baguette","given":"Michel"},{"family":"Blanchet","given":"Simon"},{"family":"Legrand","given":"Delphine"},{"family":"Stevens","given":"Virginie M."},{"family":"Turlure","given":"Camille"}],"issued":{"date-parts":[["2013",5]]}}},{"id":1333,"uris":["http://zotero.org/users/12168070/items/MIVU7SQR"],"itemData":{"id":1333,"type":"book","abstract":"Written by a world renowned biologist, this volume offers a comprehensive synthesis of current research in this rapidly expanding area of population biology. It covers both the essential theory and a wide range of empirical studies, including the author's groundbreaking work on the Glanville fritillary butterfly. It also includes practical applications to conservation biology. The book describes theoretical models for metapopulation dynamics in highly fragmented landscapes and emphasizes spatially realistic models. It presents the incidence function model and includes several detailed examples of its application. Accessible to advanced undergraduate and graduate students, Metapopulation Ecology will be a valuable resource for researchers in population biology, conservation biology, and landscape ecology.","ISBN":"978-0-19-854066-3","note":"type: 10.1093/oso/9780198540663.001.0001","publisher":"Oxford University Press","title":"Metapopulation Ecology","URL":"https://doi.org/10.1093/oso/9780198540663.001.0001","author":[{"family":"Hanski","given":"llkka"}],"issued":{"date-parts":[["1999",10,31]]}}},{"id":1329,"uris":["http://zotero.org/users/12168070/items/WAU8YKGG"],"itemData":{"id":1329,"type":"article-journal","abstract":"Abstract Genetic data are often used to assess ?population connectivity? because it is difficult to measure dispersal directly at large spatial scales. Genetic connectivity, however, depends primarily on the absolute number of dispersers among populations, whereas demographic connectivity depends on the relative contributions to population growth rates of dispersal vs. local recruitment (i.e. survival and reproduction of residents). Although many questions are best answered with data on genetic connectivity, genetic data alone provide little information on demographic connectivity. The importance of demographic connectivity is clear when the elimination of immigration results in a shift from stable or positive population growth to negative population growth. Otherwise, the amount of dispersal required for demographic connectivity depends on the context (e.g. conservation or harvest management), and even high dispersal rates may not indicate demographic interdependence. Therefore, it is risky to infer the importance of demographic connectivity without information on local demographic rates and how those rates vary over time. Genetic methods can provide insight on demographic connectivity when combined with these local demographic rates, data on movement behaviour, or estimates of reproductive success of immigrants and residents. We also consider the strengths and limitations of genetic measures of connectivity and discuss three concepts of genetic connectivity that depend upon the evolutionary criteria of interest: inbreeding connectivity, drift connectivity, and adaptive connectivity. To conclude, we describe alternative approaches for assessing population connectivity, highlighting the value of combining genetic data with capture-mark-recapture methods or other direct measures of movement to elucidate the complex role of dispersal in natural populations.","container-title":"Molecular Ecology","DOI":"10.1111/j.1365-294X.2010.04688.x","ISSN":"0962-1083","issue":"15","journalAbbreviation":"Molecular Ecology","page":"3038-3051","publisher":"John Wiley &amp; Sons, Ltd","title":"What can genetics tell us about population connectivity?","volume":"19","author":[{"family":"Lowe","given":"Winsor H."},{"family":"Allendorf","given":"Fred W."}],"issued":{"date-parts":[["2010",8,1]]}}}],"schema":"https://github.com/citation-style-language/schema/raw/master/csl-citation.json"} </w:instrText>
      </w:r>
      <w:r>
        <w:fldChar w:fldCharType="separate"/>
      </w:r>
      <w:r>
        <w:rPr>
          <w:rFonts w:cs="Arial"/>
        </w:rPr>
        <w:t>(Baguette et al., 2013; Hanski, 1999; Lowe &amp; Allendorf, 2010)</w:t>
      </w:r>
      <w:r>
        <w:fldChar w:fldCharType="end"/>
      </w:r>
      <w:r>
        <w:t>. In this context, the Sussex landscape likely functions as a network of habitat patches centred on the Pevensey Levels, with connectivity influenced by wetland continuity, hydrological links, and local habitat quality.</w:t>
      </w:r>
    </w:p>
    <w:p w14:paraId="633D0D96" w14:textId="4BB6D984" w:rsidR="007B3476" w:rsidRDefault="007B3476" w:rsidP="007B3476">
      <w:r>
        <w:t>This patch-based pattern is consistent with metapopulation dynamics, in which populations persist within a mosaic of semi-connected habitat fragments subject to variable dispersal and local extinction</w:t>
      </w:r>
      <w:r w:rsidR="000A6CEC">
        <w:t>-</w:t>
      </w:r>
      <w:r>
        <w:t xml:space="preserve">colonisation processes </w:t>
      </w:r>
      <w:r w:rsidR="000A6CEC">
        <w:fldChar w:fldCharType="begin"/>
      </w:r>
      <w:r w:rsidR="000A6CEC">
        <w:instrText xml:space="preserve"> ADDIN ZOTERO_ITEM CSL_CITATION {"citationID":"fVzieGzS","properties":{"formattedCitation":"(Hanski, 1999; Levins, 1969)","plainCitation":"(Hanski, 1999; Levins, 1969)","noteIndex":0},"citationItems":[{"id":1333,"uris":["http://zotero.org/users/12168070/items/MIVU7SQR"],"itemData":{"id":1333,"type":"book","abstract":"Written by a world renowned biologist, this volume offers a comprehensive synthesis of current research in this rapidly expanding area of population biology. It covers both the essential theory and a wide range of empirical studies, including the author's groundbreaking work on the Glanville fritillary butterfly. It also includes practical applications to conservation biology. The book describes theoretical models for metapopulation dynamics in highly fragmented landscapes and emphasizes spatially realistic models. It presents the incidence function model and includes several detailed examples of its application. Accessible to advanced undergraduate and graduate students, Metapopulation Ecology will be a valuable resource for researchers in population biology, conservation biology, and landscape ecology.","ISBN":"978-0-19-854066-3","note":"type: 10.1093/oso/9780198540663.001.0001","publisher":"Oxford University Press","title":"Metapopulation Ecology","URL":"https://doi.org/10.1093/oso/9780198540663.001.0001","author":[{"family":"Hanski","given":"llkka"}],"issued":{"date-parts":[["1999",10,31]]}}},{"id":1403,"uris":["http://zotero.org/users/12168070/items/BZEXQLEJ"],"itemData":{"id":1403,"type":"article-journal","abstract":"Economically important pests usually attack a crop or group of crops over a wide region in which there are geographic, local, and temporal variations in the environment. Effectiveness of any control program will therefore depend on the different responses of the crop, pest, and control organism to this pattern of environment. Usually the environmental heterogeneity is treated as an unavoidable complication in program evaluation, and attempts are made to work with “average” conditions.","container-title":"Bulletin of the Entomological Society of America","DOI":"10.1093/besa/15.3.237","ISSN":"0013-8754","issue":"3","journalAbbreviation":"Bulletin of the Entomological Society of America","page":"237-240","title":"Some Demographic and Genetic Consequences of Environmental Heterogeneity for Biological Control","volume":"15","author":[{"family":"Levins","given":"Richard"}],"issued":{"date-parts":[["1969",9,1]]}}}],"schema":"https://github.com/citation-style-language/schema/raw/master/csl-citation.json"} </w:instrText>
      </w:r>
      <w:r w:rsidR="000A6CEC">
        <w:fldChar w:fldCharType="separate"/>
      </w:r>
      <w:r w:rsidR="000A6CEC" w:rsidRPr="000A6CEC">
        <w:rPr>
          <w:rFonts w:cs="Arial"/>
        </w:rPr>
        <w:t>(Hanski, 1999; Levins, 1969)</w:t>
      </w:r>
      <w:r w:rsidR="000A6CEC">
        <w:fldChar w:fldCharType="end"/>
      </w:r>
      <w:r w:rsidR="000A6CEC">
        <w:t xml:space="preserve">. </w:t>
      </w:r>
      <w:r>
        <w:t>Some peripheral sites may now experience reduced contemporary connectivity relative to historical conditions, particularly under modern landscape fragmentation. However, the retention of multiple haplotypes at all sampled locations indicates that genetic diversity has not been entirely eroded, although standing genetic diversity of this kind can mask more subtle, ongoing genetic erosion in fragmented populations, and this is best assessed directly once genome-wide data are available. Even sites suspected to have experienced founder events or restricted dispersal retain measurable variation, suggesting that evolutionary potential persists across the system, though this should be interpreted as a present-day snapshot rather than a guarantee of long-term resilience.</w:t>
      </w:r>
    </w:p>
    <w:p w14:paraId="74490F54" w14:textId="383F199F" w:rsidR="007B3476" w:rsidRPr="007B3476" w:rsidRDefault="007B3476" w:rsidP="007B3476">
      <w:r>
        <w:lastRenderedPageBreak/>
        <w:t>Taken together, the evidence supports a model of fragmented but not fully isolated populations, with connectivity shaped more by habitat structure than by geographic distance alone.</w:t>
      </w:r>
    </w:p>
    <w:p w14:paraId="01BF5B0D" w14:textId="77777777" w:rsidR="005048D6" w:rsidRPr="005048D6" w:rsidRDefault="005048D6" w:rsidP="00FD3734">
      <w:pPr>
        <w:pStyle w:val="Heading3"/>
      </w:pPr>
      <w:bookmarkStart w:id="31" w:name="_Toc225146234"/>
      <w:r>
        <w:t>Landscape history and habitat origin</w:t>
      </w:r>
      <w:bookmarkEnd w:id="31"/>
    </w:p>
    <w:p w14:paraId="23443904" w14:textId="73D464BE" w:rsidR="007B3476" w:rsidRDefault="007B3476" w:rsidP="007B3476">
      <w:r>
        <w:t>Interpreting genetic structure alongside habitat history provides additional context for understanding spatial patterns across the Sussex system. The Pevensey Levels represent the long-recognised centre of distribution, with sustained records and relatively continuous wetland habitat. In contrast, several of the sampled sites differ markedly in origin and landscape setting, which are likely to influence their genetic composition.</w:t>
      </w:r>
    </w:p>
    <w:p w14:paraId="1DBFC914" w14:textId="09B9038E" w:rsidR="00CC55DA" w:rsidRDefault="00CC55DA" w:rsidP="007B3476">
      <w:r w:rsidRPr="00CC55DA">
        <w:t xml:space="preserve">The artificial pond systems at BMF and CC are of relatively recent anthropogenic origin and are spatially separated from the main wetland complex. Both systems were established in the early 2000s (exact dates are being confirmed with landowners), a timescale consistent with either reduced or potentially absent subsequent gene flow following initial colonisation. The genetic differentiation observed at these sites may therefore reflect founder effects involving a limited number of colonising individuals, and consequently a restricted subset of the haplotypes </w:t>
      </w:r>
      <w:proofErr w:type="gramStart"/>
      <w:r w:rsidR="001C7A8F">
        <w:t>present</w:t>
      </w:r>
      <w:proofErr w:type="gramEnd"/>
      <w:r w:rsidRPr="00CC55DA">
        <w:t xml:space="preserve"> in the source population, rather than ongoing isolation following repeated dispersal events. Interestingly, landowners at both BMF and CC independently reported that landscaping contractors operating across multiple sites in the region, including the Pevensey Levels, may have inadvertently transported spiders on tools, machinery, or plant material (the landowner, personal communication, 2025). Although anecdotal, these accounts provide a plausible anthropogenic dispersal mechanism consistent with the observed genetic signatures: the establishment of new populations from small numbers of inadvertently translocated individuals originating from the core Pevensey Levels population. Human-mediated dispersal of invertebrates through horticultural and landscaping activities has been documented in other systems and can produce genetic patterns that closely resemble natural founder events (Hulme et al., 2008).</w:t>
      </w:r>
    </w:p>
    <w:p w14:paraId="5A1B2C40" w14:textId="5A1B2C41" w:rsidR="007B3476" w:rsidRDefault="007B3476" w:rsidP="007B3476">
      <w:r>
        <w:t xml:space="preserve">The basis for this spatial separation differs between the two sites. Carter’s Corner lies on the fringes of the Levels proper, divided from the main wetland complex by the A271, a barrier of moderate but not absolute significance; a documented case from nearby Magnum Down shows that garden ponds in this general area can retain hydrological connectivity to the Pevensey Levels via roadside culverts, illustrating that several alternative colonisation routes remain plausible for the Carter’s Corner cluster. Beech Mill Farm presents a more clear-cut case: it has no plausible physical wetland connection to the Levels, and the intervening distance, expanse of Wealden woodland, and urbanisation make even a historical connected-outlier scenario </w:t>
      </w:r>
      <w:r>
        <w:lastRenderedPageBreak/>
        <w:t>implausible, leaving founder-driven establishment from translocated individuals as the most likely explanation. For both sites, habitat configuration and the presence of dispersal barriers are likely to be more relevant to genetic outcomes than straight-line geographic distance alone; this is illustrated by Ashburnham Place, which, despite being similarly distant from the core of the Levels, retains greater continuity of grazing habitat via the Ash Bourne stream (which also passes under the A271), and might therefore be expected to show different genetic patterns from BMF and CC were it to be sampled.</w:t>
      </w:r>
    </w:p>
    <w:p w14:paraId="0214A98C" w14:textId="3CC4C4B9" w:rsidR="007B3476" w:rsidRDefault="007B3476" w:rsidP="007B3476">
      <w:r>
        <w:t xml:space="preserve">Such patterns are commonly observed in newly established habitats, where small founding sizes can generate detectable structure even in the absence of long-term isolation </w:t>
      </w:r>
      <w:r>
        <w:fldChar w:fldCharType="begin"/>
      </w:r>
      <w:r>
        <w:instrText xml:space="preserve"> ADDIN ZOTERO_ITEM CSL_CITATION {"citationID":"behSal6b","properties":{"formattedCitation":"(Frankham, 2003; Nei, 1987)","plainCitation":"(Frankham, 2003; Nei, 1987)","noteIndex":0},"citationItems":[{"id":45,"uris":["http://zotero.org/users/12168070/items/ZUCI5YXP"],"itemData":{"id":45,"type":"article-journal","abstract":"Conservation genetics encompasses genetic management of small populations, resolution of taxonomic uncertainties and management units, and the use of molecular genetic analyses in forensics and to understanding species' biology. The role of genetic factors in extinctions of wild populations has been controversial, but evidence now shows that they make important contributions to extinction risk. Inbreeding has been shown to cause extinctions of wild populations, computer projections indicate that inbreeding depression has important effects on extinction risk, and most threatened species show signs of genetic deterioration. Inappropriate management is likely to result if genetic factors are ignored in threatened species management. © 2003 Académie des sciences. Published by Éditions scientifiques et médicales Elsevier SAS. All rights reserved.","container-title":"Comptes Rendus Biologies","DOI":"10.1016/S1631-0691(03)00023-4","ISSN":"1631-0691","issue":"SUPPL. 1","page":"22-29","PMID":"14558445","publisher":"No longer published by Elsevier","title":"Genetics and conservation biology","volume":"326","author":[{"family":"Frankham","given":"Richard"}],"issued":{"date-parts":[["2003",8]]}}},{"id":517,"uris":["http://zotero.org/users/12168070/items/THXNYHSH"],"itemData":{"id":517,"type":"chapter","abstract":"Summarizes and reviews developments in molecular evolutionary genetics as one discipline rather than separate as molecular evolution and population genetics.","container-title":"Molecular Evolutionary Genetics","DOI":"10.7312/nei-92038","ISBN":"978-0-231-88671-0","language":"en","license":"De Gruyter expressly reserves the right to use all content for commercial text and data mining within the meaning of Section 44b of the German Copyright Act.","publisher":"Columbia University Press","source":"www.degruyter.com","title":"Molecular Evolutionary Genetics","URL":"https://www.degruyter.com/document/doi/10.7312/nei-92038/html","author":[{"family":"Nei","given":"Masatoshi"}],"accessed":{"date-parts":[["2024",3,12]]},"issued":{"date-parts":[["1987"]]}}}],"schema":"https://github.com/citation-style-language/schema/raw/master/csl-citation.json"} </w:instrText>
      </w:r>
      <w:r>
        <w:fldChar w:fldCharType="separate"/>
      </w:r>
      <w:r>
        <w:rPr>
          <w:rFonts w:cs="Arial"/>
        </w:rPr>
        <w:t>(Frankham, 2003; Nei, 1987)</w:t>
      </w:r>
      <w:r>
        <w:fldChar w:fldCharType="end"/>
      </w:r>
      <w:r>
        <w:t xml:space="preserve">. However, these sites are not genetically uniform; the presence of multiple haplotypes indicates that either the founding groups were not genetically homogeneous or that </w:t>
      </w:r>
      <w:r w:rsidR="00D073DF">
        <w:t>ongoing dispersal has been limited</w:t>
      </w:r>
      <w:r>
        <w:t>. It should be noted that the differentiation of BMF is marker-dependent: COI pairwise FST values are consistently elevated for BMF (0.061–0.088 against all other sites), whereas H3 pairwise values for BMF are heterogeneous, with some comparisons showing high differentiation (AP–BMF: FST = 0.158) and others near zero (BMF–CC: FST = −0.007; BMF–PLR: FST = 0.005). The founder-event interpretation is therefore most strongly supported for maternal lineages, and the nuclear evidence is more equivocal.</w:t>
      </w:r>
    </w:p>
    <w:p w14:paraId="6D087FDE" w14:textId="784C957B" w:rsidR="007B3476" w:rsidRDefault="007B3476" w:rsidP="007B3476">
      <w:r>
        <w:t>In contrast, naturally occurring wetland sites show greater haplotype sharing, suggesting historical connectivity within a broader wetland network. This pattern is consistent with a landscape in which hydrological continuity and habitat adjacency once facilitated dispersal among sites that are now more fragmented.</w:t>
      </w:r>
    </w:p>
    <w:p w14:paraId="785E0C26" w14:textId="6E5CAAF9" w:rsidR="007B3476" w:rsidRDefault="007B3476" w:rsidP="007B3476">
      <w:r>
        <w:t>Combe Valley occupies an intermediate position.</w:t>
      </w:r>
      <w:r w:rsidR="007F4309">
        <w:t xml:space="preserve"> Although it supports SSSI quality grazing marsh,</w:t>
      </w:r>
      <w:r>
        <w:t xml:space="preserve"> it is geographically separated from the Pevensey Levels and other sampled sites. In practical terms, this means CV sits within an entirely separate catchment, separated from the Pevensey Levels by elevated land whose lower-lying parts are occupied by the 5.5 km linear extent of Bexhill-on-Sea. The H3 data detect some differentiation at CV, particularly from BMF (FST = 0.146), </w:t>
      </w:r>
      <w:r w:rsidR="004010FC" w:rsidRPr="004010FC">
        <w:t>whereas COI pairwise FST values for CV are negligible against all sites except BMF (range: −0.004 to 0.002), with the elevated CV–BMF value (FST = 0.080) reflecting BMF's broader pattern of COI divergence rather than a CV-specific signal, indicating little maternal lineage differentiation distinct to CV itself</w:t>
      </w:r>
      <w:r>
        <w:t xml:space="preserve">. Shared haplotypes and the absence of deeply divergent lineages do not support the hypothesis that CV represents a long-isolated remnant population. Rather, its pattern is more consistent with historical connectivity followed by increasing spatial separation, with habitat configuration likely exerting a stronger influence on gene flow than geographic distance alone. Deliberate introduction cannot be entirely excluded as an alternative </w:t>
      </w:r>
      <w:r>
        <w:lastRenderedPageBreak/>
        <w:t>explanation for the CV population, although no direct evidence for this was identified during the present study.</w:t>
      </w:r>
    </w:p>
    <w:p w14:paraId="34894356" w14:textId="283AFC0B" w:rsidR="005048D6" w:rsidRPr="005048D6" w:rsidRDefault="007B3476" w:rsidP="007B3476">
      <w:r>
        <w:t xml:space="preserve">Taken together, these findings suggest that present-day structure reflects the combined effects of historical wetland continuity and more recent anthropogenic fragmentation. Artificially established sites appear compatible with founder-driven differentiation, while natural wetlands retain signatures of past connectivity. The East Sussex system, therefore, illustrates how both </w:t>
      </w:r>
      <w:r w:rsidR="007F4309">
        <w:t xml:space="preserve">the history of colonisation </w:t>
      </w:r>
      <w:r>
        <w:t>and landscape modification contribute to shaping contemporary genetic patterns.</w:t>
      </w:r>
    </w:p>
    <w:p w14:paraId="10E8F7C3" w14:textId="77777777" w:rsidR="005048D6" w:rsidRDefault="005048D6" w:rsidP="005048D6">
      <w:pPr>
        <w:pStyle w:val="Heading2"/>
      </w:pPr>
      <w:bookmarkStart w:id="32" w:name="_Toc225146235"/>
      <w:r>
        <w:t>Future directions</w:t>
      </w:r>
      <w:bookmarkEnd w:id="32"/>
    </w:p>
    <w:p w14:paraId="7541FAB5" w14:textId="0167B00B" w:rsidR="00CF2621" w:rsidRDefault="00CF2621" w:rsidP="00CF2621">
      <w:r>
        <w:t xml:space="preserve">This study provides the first genetic baseline for the Sussex </w:t>
      </w:r>
      <w:r w:rsidRPr="00484548">
        <w:rPr>
          <w:i/>
          <w:iCs/>
        </w:rPr>
        <w:t>D. plantarius</w:t>
      </w:r>
      <w:r>
        <w:t xml:space="preserve"> system and addresses a central objective of the funded project: </w:t>
      </w:r>
      <w:r w:rsidR="001C7A8F">
        <w:t xml:space="preserve">evaluating genetic relationships between the Pevensey Levels core and outlying sites where the species has recently been </w:t>
      </w:r>
      <w:r>
        <w:t>recorded. The results establish a working hypothesis of core–satellite structure rather than a collection of independently isolated populations. As such, they serve as a foundation for the forthcoming low-coverage whole-genome sequencing (</w:t>
      </w:r>
      <w:proofErr w:type="spellStart"/>
      <w:r>
        <w:t>lcWGS</w:t>
      </w:r>
      <w:proofErr w:type="spellEnd"/>
      <w:r>
        <w:t>) analyses being undertaken by the NERC Environmental Omics Facility (NEOF).</w:t>
      </w:r>
    </w:p>
    <w:p w14:paraId="7F3BF300" w14:textId="1DE4E508" w:rsidR="00CF2621" w:rsidRDefault="00CF2621" w:rsidP="00CF2621">
      <w:r>
        <w:t xml:space="preserve">Genome-wide data will substantially extend the scope of inference possible from the present marker-based approach. In particular, </w:t>
      </w:r>
      <w:proofErr w:type="spellStart"/>
      <w:r>
        <w:t>lcWGS</w:t>
      </w:r>
      <w:proofErr w:type="spellEnd"/>
      <w:r>
        <w:t xml:space="preserve"> will permit estimation of effective population size (</w:t>
      </w:r>
      <w:proofErr w:type="spellStart"/>
      <w:r>
        <w:t>N_e</w:t>
      </w:r>
      <w:proofErr w:type="spellEnd"/>
      <w:r>
        <w:t xml:space="preserve">), reconstruction of historical demography, finer-scale analysis of genetic diversity through genome-wide heterozygosity estimates, and more rigorous testing of the strength and direction of connectivity among sites </w:t>
      </w:r>
      <w:r>
        <w:fldChar w:fldCharType="begin"/>
      </w:r>
      <w:r>
        <w:instrText xml:space="preserve"> ADDIN ZOTERO_ITEM CSL_CITATION {"citationID":"ITHrKFGl","properties":{"formattedCitation":"(Lou et al., 2021)","plainCitation":"(Lou et al., 2021)","noteIndex":0},"citationItems":[{"id":374,"uris":["http://zotero.org/users/12168070/items/YN9IAV6J"],"itemData":{"id":374,"type":"article-journal","abstract":"Molecular Ecology is an international journal for research using molecular genetic techniques to address questions in ecology, evolution, behavior and conservation.","container-title":"Molecular Ecology","DOI":"10.1111/mec.16077","ISSN":"1365-294X","issue":"23","language":"en","page":"5966-5993","publisher":"John Wiley &amp; Sons, Ltd","source":"onlinelibrary.wiley.com","title":"A beginner's guide to low-coverage whole genome sequencing for population genomics","volume":"30","author":[{"family":"Lou","given":"Runyang Nicolas"},{"family":"Jacobs","given":"Arne"},{"family":"Wilder","given":"Aryn P."},{"family":"Therkildsen","given":"Nina Overgaard"}],"issued":{"date-parts":[["2021",12,1]]}}}],"schema":"https://github.com/citation-style-language/schema/raw/master/csl-citation.json"} </w:instrText>
      </w:r>
      <w:r>
        <w:fldChar w:fldCharType="separate"/>
      </w:r>
      <w:r>
        <w:rPr>
          <w:rFonts w:cs="Arial"/>
        </w:rPr>
        <w:t>(Lou et al., 2021)</w:t>
      </w:r>
      <w:r>
        <w:fldChar w:fldCharType="end"/>
      </w:r>
      <w:r>
        <w:t xml:space="preserve">. These analyses should also help resolve whether outlying sites represent recent colonisation events, persistent subpopulations, or emerging independent genetic units, questions that the current dataset can frame but not definitively answer. Additionally, genomic data may reveal signals of locally adaptive variation that are invisible to the small number of loci examined here </w:t>
      </w:r>
      <w:r>
        <w:fldChar w:fldCharType="begin"/>
      </w:r>
      <w:r>
        <w:instrText xml:space="preserve"> ADDIN ZOTERO_ITEM CSL_CITATION {"citationID":"peE2fHJ0","properties":{"formattedCitation":"(Hohenlohe et al., 2021)","plainCitation":"(Hohenlohe et al., 2021)","noteIndex":0},"citationItems":[{"id":54,"uris":["http://zotero.org/users/12168070/items/CIKKGXCG"],"itemData":{"id":54,"type":"article-journal","abstract":"Biodiversity is under threat worldwide. Over the past decade, the field of population genomics has developed across nonmodel organisms, and the results of this research have begun to be applied in conservation and management of wildlife species. Genomics tools can provide precise estimates of basic features of wildlife populations, such as effective population size, inbreeding, demographic history and population structure, that are critical for conservation efforts. Moreover, population genomics studies can identify particular genetic loci and variants responsible for inbreeding depression or adaptation to changing environments, allowing for conservation efforts to estimate the capacity of populations to evolve and adapt in response to environmental change and to manage for adaptive variation. While connections from basic research to applied wildlife conservation have been slow to develop, these connections are increasingly strengthening. Here we review the primary areas in which population genomics approaches can be applied to wildlife conservation and management, highlight examples of how they have been used, and provide recommendations for building on the progress that has been made in this field.","container-title":"Molecular Ecology","DOI":"10.1111/MEC.15720","ISSN":"1365294X","issue":"1","page":"62","PMID":"33145846","publisher":"Wiley-Blackwell","title":"Population genomics for wildlife conservation and management","volume":"30","author":[{"family":"Hohenlohe","given":"Paul A."},{"family":"Funk","given":"W. Chris"},{"family":"Rajora","given":"Om P."}],"issued":{"date-parts":[["2021",1]]}}}],"schema":"https://github.com/citation-style-language/schema/raw/master/csl-citation.json"} </w:instrText>
      </w:r>
      <w:r>
        <w:fldChar w:fldCharType="separate"/>
      </w:r>
      <w:r>
        <w:rPr>
          <w:rFonts w:cs="Arial"/>
        </w:rPr>
        <w:t>(Hohenlohe et al., 2021)</w:t>
      </w:r>
      <w:r>
        <w:fldChar w:fldCharType="end"/>
      </w:r>
      <w:r>
        <w:t>. The present marker-based results will act as an interpretative baseline against which genome-wide patterns can be compared, and concordance or discordance between the two scales of analysis will itself be informative about the timescales over which population processes have operated.</w:t>
      </w:r>
    </w:p>
    <w:p w14:paraId="39E653F1" w14:textId="0EF10879" w:rsidR="00CF2621" w:rsidRDefault="00CF2621" w:rsidP="00CF2621">
      <w:r>
        <w:t>Ultimately, integrating genomic findings with concurrent regional distribution surveys, ongoing demographic monitoring, and available habitat and land-use change data will be needed to build a more complete picture of population dynamics and long-term viability across the East Sussex landscape.</w:t>
      </w:r>
    </w:p>
    <w:p w14:paraId="542F11A7" w14:textId="77777777" w:rsidR="00CF2621" w:rsidRDefault="00CF2621" w:rsidP="00CF2621">
      <w:pPr>
        <w:pStyle w:val="Heading3"/>
      </w:pPr>
      <w:bookmarkStart w:id="33" w:name="_Toc225146236"/>
      <w:r>
        <w:lastRenderedPageBreak/>
        <w:t>Conservation implications</w:t>
      </w:r>
      <w:bookmarkEnd w:id="33"/>
    </w:p>
    <w:p w14:paraId="2CC509FD" w14:textId="4D4FE933" w:rsidR="00CF2621" w:rsidRDefault="00CF2621" w:rsidP="00CF2621">
      <w:r>
        <w:t xml:space="preserve">Based on the evidence presented here, the East Sussex </w:t>
      </w:r>
      <w:r>
        <w:rPr>
          <w:i/>
          <w:iCs/>
        </w:rPr>
        <w:t>D. plantarius</w:t>
      </w:r>
      <w:r>
        <w:t xml:space="preserve"> system is best interpreted as a fragmented but semi-connected metapopulation centred on the Pevensey Levels. Outlying sites appear most consistent with colonisation from the core, followed by partial isolation, rather than representing confirmed remnant lineages of independent origin. An encouraging finding is that measurable genetic diversity has been retained across all sampled sites despite habitat fragmentation, suggesting that evolutionary potential has not yet been critically eroded.</w:t>
      </w:r>
    </w:p>
    <w:p w14:paraId="1E1CEBFB" w14:textId="48CF74A4" w:rsidR="00CF2621" w:rsidRDefault="00CF2621" w:rsidP="00CF2621">
      <w:r>
        <w:t xml:space="preserve">The primary management priority arising from these results is preventing further isolation. Because diversity persists across the system, the emphasis should be on maintaining existing connectivity before genetic erosion occurs, rather than on restoring variation that has already been lost. This distinction has practical implications: management effort is likely to be most effective if directed toward sustaining dispersal pathways and habitat continuity across the landscape </w:t>
      </w:r>
      <w:r>
        <w:fldChar w:fldCharType="begin"/>
      </w:r>
      <w:r>
        <w:instrText xml:space="preserve"> ADDIN ZOTERO_ITEM CSL_CITATION {"citationID":"8rO2Ze4E","properties":{"formattedCitation":"(Frankham et al., 2017)","plainCitation":"(Frankham et al., 2017)","noteIndex":0},"citationItems":[{"id":1390,"uris":["http://zotero.org/users/12168070/items/U2GCW4IJ"],"itemData":{"id":1390,"type":"book","abstract":"The biological diversity of the planet is being rapidly depleted due to the direct and indirect consequences of human activity. As the size of animal and plant populations decrease and fragmentation increases, loss of genetic diversity reduces their ability to adapt to changes in the environment, with inbreeding and reduced fitness inevitable consequences for many species. Many small isolated populations are going extinct unnecessarily. In many cases, such populations can be genetically rescued by gene flow into them from another population within the species, but this is very rarely done. This novel and authoritative book addresses the issues involved in genetic management of fragmented animal and plant populations, including inbreeding depression, loss of genetic diversity and elevated extinction risk in small isolated populations, augmentation of gene flow, genetic rescue, causes of outbreeding depression and predicting its occurrence, desirability and implementation of genetic translocations to cope with climate change, and defining and diagnosing species for conservation purposes.","DOI":"10.1093/oso/9780198783398.001.0001","ISBN":"978-0-19-878339-8","publisher":"Oxford University Press","title":"Genetic Management of Fragmented Animal and Plant Populations","URL":"https://doi.org/10.1093/oso/9780198783398.001.0001","author":[{"family":"Frankham","given":"Richard"},{"family":"Ballou","given":"Jonathan D."},{"family":"Ralls","given":"Katherine"},{"family":"Eldridge","given":"Mark"},{"family":"Dudash","given":"Michele R."},{"family":"Fenster","given":"Charles B."},{"family":"Lacy","given":"Robert C."},{"family":"Sunnucks","given":"Paul"}],"accessed":{"date-parts":[["2026",3,23]]},"issued":{"date-parts":[["2017",7,13]]}}}],"schema":"https://github.com/citation-style-language/schema/raw/master/csl-citation.json"} </w:instrText>
      </w:r>
      <w:r>
        <w:fldChar w:fldCharType="separate"/>
      </w:r>
      <w:r>
        <w:rPr>
          <w:rFonts w:cs="Arial"/>
        </w:rPr>
        <w:t>(Frankham et al., 2017)</w:t>
      </w:r>
      <w:r>
        <w:fldChar w:fldCharType="end"/>
      </w:r>
      <w:r>
        <w:t>.</w:t>
      </w:r>
    </w:p>
    <w:p w14:paraId="5695B115" w14:textId="40B7471B" w:rsidR="00CF2621" w:rsidRDefault="00CF2621" w:rsidP="00CF2621">
      <w:r>
        <w:t xml:space="preserve">Artificially established sites such as BMF and CC, which appear to have been founded by limited numbers of colonists, may be more vulnerable to genetic drift and stochastic loss of variation than larger or better-connected sites. Nevertheless, these sites still contribute to overall metapopulation diversity and should not be dismissed as genetically expendable. Management at these locations should focus on maintaining habitat quality, avoiding local extinction, and facilitating natural dispersal where feasible. Where artificial habitats are maintained or created in future, consideration of genetic connectivity, for example, through spatial placement relative to existing populations, may help to reduce the risk of further founder-driven differentiation </w:t>
      </w:r>
      <w:r>
        <w:fldChar w:fldCharType="begin"/>
      </w:r>
      <w:r>
        <w:instrText xml:space="preserve"> ADDIN ZOTERO_ITEM CSL_CITATION {"citationID":"QEdrG0yw","properties":{"formattedCitation":"(Weeks et al., 2011)","plainCitation":"(Weeks et al., 2011)","noteIndex":0},"citationItems":[{"id":1391,"uris":["http://zotero.org/users/12168070/items/FQFAXAC3"],"itemData":{"id":1391,"type":"article-journal","abstract":"Translocations are being increasingly proposed as a way of conserving biodiversity, particularly in the management of threatened and keystone species, with the aims of maintaining biodiversity and ecosystem function under the combined pressures of habitat fragmentation and climate change. Evolutionary genetic considerations should be an important part of translocation strategies, but there is often confusion about concepts and goals. Here, we provide a classification of translocations based on specific genetic goals for both threatened species and ecological restoration, separating targets based on ‘genetic rescue’ of current population fitness from those focused on maintaining adaptive potential. We then provide a framework for assessing the genetic benefits and risks associated with translocations and provide guidelines for managers focused on conserving biodiversity and evolutionary processes. Case studies are developed to illustrate the framework.","container-title":"Evolutionary Applications","DOI":"10.1111/j.1752-4571.2011.00192.x","ISSN":"1752-4571","issue":"6","language":"en","license":"© 2011 Blackwell Publishing Ltd","note":"_eprint: https://onlinelibrary.wiley.com/doi/pdf/10.1111/j.1752-4571.2011.00192.x","page":"709-725","source":"Wiley Online Library","title":"Assessing the benefits and risks of translocations in changing environments: a genetic perspective","title-short":"Assessing the benefits and risks of translocations in changing environments","volume":"4","author":[{"family":"Weeks","given":"Andrew R."},{"family":"Sgro","given":"Carla M."},{"family":"Young","given":"Andrew G."},{"family":"Frankham","given":"Richard"},{"family":"Mitchell","given":"Nicki J."},{"family":"Miller","given":"Kim A."},{"family":"Byrne","given":"Margaret"},{"family":"Coates","given":"David J."},{"family":"Eldridge","given":"Mark D. B."},{"family":"Sunnucks","given":"Paul"},{"family":"Breed","given":"Martin F."},{"family":"James","given":"Elizabeth A."},{"family":"Hoffmann","given":"Ary A."}],"issued":{"date-parts":[["2011"]]}}}],"schema":"https://github.com/citation-style-language/schema/raw/master/csl-citation.json"} </w:instrText>
      </w:r>
      <w:r>
        <w:fldChar w:fldCharType="separate"/>
      </w:r>
      <w:r>
        <w:rPr>
          <w:rFonts w:cs="Arial"/>
        </w:rPr>
        <w:t>(Weeks et al., 2011)</w:t>
      </w:r>
      <w:r>
        <w:fldChar w:fldCharType="end"/>
      </w:r>
      <w:r>
        <w:t>.</w:t>
      </w:r>
    </w:p>
    <w:p w14:paraId="47B7559C" w14:textId="77777777" w:rsidR="00CF2621" w:rsidRDefault="00CF2621" w:rsidP="00CF2621">
      <w:r>
        <w:t>Natural wetland sites retain clearer signatures of historical connectivity and are likely to play a disproportionate role in sustaining gene flow across the system. Priority actions at these locations include maintaining hydrological continuity, protecting existing habitat networks, and enhancing landscape permeability where opportunities arise.</w:t>
      </w:r>
    </w:p>
    <w:p w14:paraId="5F5C197C" w14:textId="77777777" w:rsidR="00CF2621" w:rsidRDefault="00CF2621" w:rsidP="00CF2621">
      <w:r>
        <w:t>Combe Valley presents a somewhat ambiguous case. The H3 data detect some differentiation at this site, but the COI data show negligible divergence, and there is no strong evidence at the current marker resolution for long-term independent remnant status. Pending genomic confirmation, Combe Valley should be managed as a functionally connected peripheral unit rather than as an isolated population requiring independent genetic management.</w:t>
      </w:r>
    </w:p>
    <w:p w14:paraId="438EDF3C" w14:textId="5E81E999" w:rsidR="002E470D" w:rsidRPr="00FD3734" w:rsidRDefault="00CF2621" w:rsidP="003F4ED4">
      <w:r>
        <w:lastRenderedPageBreak/>
        <w:t xml:space="preserve">More broadly, these findings underscore that population boundaries in fragmented systems should not be assumed solely </w:t>
      </w:r>
      <w:proofErr w:type="gramStart"/>
      <w:r w:rsidR="00D073DF">
        <w:t>on the basis of</w:t>
      </w:r>
      <w:proofErr w:type="gramEnd"/>
      <w:r w:rsidR="00D073DF">
        <w:t xml:space="preserve"> </w:t>
      </w:r>
      <w:r>
        <w:t xml:space="preserve">geographic separation. Effective management of </w:t>
      </w:r>
      <w:r>
        <w:rPr>
          <w:i/>
          <w:iCs/>
        </w:rPr>
        <w:t>D. plantarius</w:t>
      </w:r>
      <w:r>
        <w:t xml:space="preserve"> in East Sussex will need to recognise differing colonisation histories among sites, variable levels of connectivity, and the landscape context in which each site is embedded. A shift from purely site-based protection toward landscape-scale management aimed at sustaining metapopulation resilience offers the most pragmatic framework for conserving this species across its East Sussex range </w:t>
      </w:r>
      <w:r>
        <w:fldChar w:fldCharType="begin"/>
      </w:r>
      <w:r>
        <w:instrText xml:space="preserve"> ADDIN ZOTERO_ITEM CSL_CITATION {"citationID":"A48X61AU","properties":{"formattedCitation":"(Opdam &amp; Wascher, 2004)","plainCitation":"(Opdam &amp; Wascher, 2004)","noteIndex":0},"citationItems":[{"id":1393,"uris":["http://zotero.org/users/12168070/items/EQ9MY4Q4"],"itemData":{"id":1393,"type":"article-journal","abstract":"Climate change and habitat fragmentation are considered key pressures on biodiversity. In this paper we explore the potential synergetic effects between these factors. We argue that processes at two levels of spatial scale interact: the metapopulation level and the species range level. Current concepts of spatially dynamic metapopulations and species ranges are consistent, and integration improves our understanding of the interaction of landscape level and geographical range level processes. In landscape zones in which the degree of habitat fragmentation allows persistence, the shifting of ranges is inhibited, but not blocked. In areas where the spatial cohesion of the habitat is below the critical level of metapopulation persistence, the expansion of ranges will be blocked. An increased frequency of large-scale disturbances caused by extreme weather events will cause increasing gaps and an overall contraction of the distribution range, particularly in areas with relatively low levels of spatial cohesion. Taking into account the effects of climate change on metapopulations, habitat distribution and land use changes, future biodiversity research and conservation strategies are facing the challenge to re-orient their focus and scope by integrating spatially and conceptually more dynamic aspects at the landscape level.","container-title":"Biological Conservation","DOI":"10.1016/j.biocon.2003.12.008","ISSN":"0006-3207","issue":"3","journalAbbreviation":"Biological Conservation","page":"285-297","source":"ScienceDirect","title":"Climate change meets habitat fragmentation: linking landscape and biogeographical scale levels in research and conservation","title-short":"Climate change meets habitat fragmentation","volume":"117","author":[{"family":"Opdam","given":"Paul"},{"family":"Wascher","given":"Dirk"}],"issued":{"date-parts":[["2004",5,1]]}}}],"schema":"https://github.com/citation-style-language/schema/raw/master/csl-citation.json"} </w:instrText>
      </w:r>
      <w:r>
        <w:fldChar w:fldCharType="separate"/>
      </w:r>
      <w:r>
        <w:rPr>
          <w:rFonts w:cs="Arial"/>
        </w:rPr>
        <w:t>(Opdam &amp; Wascher, 2004)</w:t>
      </w:r>
      <w:r>
        <w:fldChar w:fldCharType="end"/>
      </w:r>
      <w:r>
        <w:t>.</w:t>
      </w:r>
    </w:p>
    <w:p w14:paraId="2BE0860B" w14:textId="4495714F" w:rsidR="00583F22" w:rsidRDefault="00583F22" w:rsidP="00583F22">
      <w:pPr>
        <w:pStyle w:val="Heading1"/>
      </w:pPr>
      <w:bookmarkStart w:id="34" w:name="_Toc225146237"/>
      <w:r>
        <w:t>References</w:t>
      </w:r>
      <w:bookmarkEnd w:id="34"/>
    </w:p>
    <w:p w14:paraId="1F7A494C" w14:textId="77777777" w:rsidR="00196B46" w:rsidRPr="00196B46" w:rsidRDefault="00196B46" w:rsidP="00196B46">
      <w:pPr>
        <w:pStyle w:val="Bibliography"/>
        <w:rPr>
          <w:rFonts w:cs="Arial"/>
        </w:rPr>
      </w:pPr>
      <w:r>
        <w:fldChar w:fldCharType="begin"/>
      </w:r>
      <w:r>
        <w:instrText xml:space="preserve"> ADDIN ZOTERO_BIBL {"uncited":[],"omitted":[],"custom":[]} CSL_BIBLIOGRAPHY </w:instrText>
      </w:r>
      <w:r>
        <w:fldChar w:fldCharType="separate"/>
      </w:r>
      <w:r w:rsidRPr="00196B46">
        <w:rPr>
          <w:rFonts w:cs="Arial"/>
        </w:rPr>
        <w:fldChar w:fldCharType="begin"/>
      </w:r>
      <w:r w:rsidRPr="00196B46">
        <w:rPr>
          <w:rFonts w:cs="Arial"/>
        </w:rPr>
        <w:instrText xml:space="preserve"> INCLUDETEXT "C:\\Users\\makaa\\AppData\\Local\\Temp\\ZOTD174.tmp" \c MSRTF </w:instrText>
      </w:r>
      <w:r w:rsidRPr="00196B46">
        <w:rPr>
          <w:rFonts w:cs="Arial"/>
        </w:rPr>
        <w:fldChar w:fldCharType="separate"/>
      </w:r>
      <w:r w:rsidRPr="00196B46">
        <w:rPr>
          <w:rFonts w:cs="Arial"/>
        </w:rPr>
        <w:t xml:space="preserve">Allendorf, F. W., Funk, W. C., Aitken, S. N., Byrne, M., Luikart, G., &amp; Antunes, A. (2022). </w:t>
      </w:r>
      <w:r w:rsidRPr="00196B46">
        <w:rPr>
          <w:rFonts w:cs="Arial"/>
          <w:i/>
          <w:iCs/>
        </w:rPr>
        <w:t>Conservation and the Genomics of Populations</w:t>
      </w:r>
      <w:r w:rsidRPr="00196B46">
        <w:rPr>
          <w:rFonts w:cs="Arial"/>
        </w:rPr>
        <w:t>. Oxford University Press. https://doi.org/10.1093/oso/9780198856566.001.0001</w:t>
      </w:r>
    </w:p>
    <w:p w14:paraId="315AABD2" w14:textId="77777777" w:rsidR="00196B46" w:rsidRPr="00196B46" w:rsidRDefault="00196B46" w:rsidP="00196B46">
      <w:pPr>
        <w:pStyle w:val="Bibliography"/>
        <w:rPr>
          <w:rFonts w:cs="Arial"/>
        </w:rPr>
      </w:pPr>
      <w:r w:rsidRPr="00196B46">
        <w:rPr>
          <w:rFonts w:cs="Arial"/>
        </w:rPr>
        <w:t xml:space="preserve">Avise, J. C. (2000). </w:t>
      </w:r>
      <w:r w:rsidRPr="00196B46">
        <w:rPr>
          <w:rFonts w:cs="Arial"/>
          <w:i/>
          <w:iCs/>
        </w:rPr>
        <w:t>Phylogeography</w:t>
      </w:r>
      <w:r w:rsidRPr="00196B46">
        <w:rPr>
          <w:rFonts w:cs="Arial"/>
        </w:rPr>
        <w:t>. Harvard University Press. JSTOR. https://doi.org/10.2307/j.ctv1nzfgj7</w:t>
      </w:r>
    </w:p>
    <w:p w14:paraId="7E7E6E81" w14:textId="77777777" w:rsidR="00196B46" w:rsidRPr="00196B46" w:rsidRDefault="00196B46" w:rsidP="00196B46">
      <w:pPr>
        <w:pStyle w:val="Bibliography"/>
        <w:rPr>
          <w:rFonts w:cs="Arial"/>
        </w:rPr>
      </w:pPr>
      <w:r w:rsidRPr="00196B46">
        <w:rPr>
          <w:rFonts w:cs="Arial"/>
        </w:rPr>
        <w:t xml:space="preserve">Baguette, M., Blanchet, S., Legrand, D., Stevens, V. M., &amp; Turlure, C. (2013). Individual dispersal, landscape connectivity and ecological networks. </w:t>
      </w:r>
      <w:r w:rsidRPr="00196B46">
        <w:rPr>
          <w:rFonts w:cs="Arial"/>
          <w:i/>
          <w:iCs/>
        </w:rPr>
        <w:t>Biological Reviews of the Cambridge Philosophical Society</w:t>
      </w:r>
      <w:r w:rsidRPr="00196B46">
        <w:rPr>
          <w:rFonts w:cs="Arial"/>
        </w:rPr>
        <w:t xml:space="preserve">, </w:t>
      </w:r>
      <w:r w:rsidRPr="00196B46">
        <w:rPr>
          <w:rFonts w:cs="Arial"/>
          <w:i/>
          <w:iCs/>
        </w:rPr>
        <w:t>88</w:t>
      </w:r>
      <w:r w:rsidRPr="00196B46">
        <w:rPr>
          <w:rFonts w:cs="Arial"/>
        </w:rPr>
        <w:t>(2), 310–326. https://doi.org/10.1111/brv.12000</w:t>
      </w:r>
    </w:p>
    <w:p w14:paraId="53623530" w14:textId="77777777" w:rsidR="00196B46" w:rsidRPr="00196B46" w:rsidRDefault="00196B46" w:rsidP="00196B46">
      <w:pPr>
        <w:pStyle w:val="Bibliography"/>
        <w:rPr>
          <w:rFonts w:cs="Arial"/>
        </w:rPr>
      </w:pPr>
      <w:r w:rsidRPr="00196B46">
        <w:rPr>
          <w:rFonts w:cs="Arial"/>
        </w:rPr>
        <w:t xml:space="preserve">Ballard, J. W. O., &amp; Whitlock, M. C. (2004). The incomplete natural history of mitochondria. </w:t>
      </w:r>
      <w:r w:rsidRPr="00196B46">
        <w:rPr>
          <w:rFonts w:cs="Arial"/>
          <w:i/>
          <w:iCs/>
        </w:rPr>
        <w:t>Molecular Ecology</w:t>
      </w:r>
      <w:r w:rsidRPr="00196B46">
        <w:rPr>
          <w:rFonts w:cs="Arial"/>
        </w:rPr>
        <w:t xml:space="preserve">, </w:t>
      </w:r>
      <w:r w:rsidRPr="00196B46">
        <w:rPr>
          <w:rFonts w:cs="Arial"/>
          <w:i/>
          <w:iCs/>
        </w:rPr>
        <w:t>13</w:t>
      </w:r>
      <w:r w:rsidRPr="00196B46">
        <w:rPr>
          <w:rFonts w:cs="Arial"/>
        </w:rPr>
        <w:t>(4), 729–744. https://doi.org/10.1046/j.1365-294x.2003.02063.x</w:t>
      </w:r>
    </w:p>
    <w:p w14:paraId="799F42AF" w14:textId="77777777" w:rsidR="00196B46" w:rsidRPr="00196B46" w:rsidRDefault="00196B46" w:rsidP="00196B46">
      <w:pPr>
        <w:pStyle w:val="Bibliography"/>
        <w:rPr>
          <w:rFonts w:cs="Arial"/>
        </w:rPr>
      </w:pPr>
      <w:r w:rsidRPr="00196B46">
        <w:rPr>
          <w:rFonts w:cs="Arial"/>
        </w:rPr>
        <w:t xml:space="preserve">Colgan, D., McLauchlan, A., Wilson, G., Livingston, S., Edgecombe, G., Macaranas, J., Cassis, G., &amp; Gray, M. (1999). Histone H3 and U2 snRNA DNA sequences and arthropod molecular evolution. </w:t>
      </w:r>
      <w:r w:rsidRPr="00196B46">
        <w:rPr>
          <w:rFonts w:cs="Arial"/>
          <w:i/>
          <w:iCs/>
        </w:rPr>
        <w:t>Australian Journal of Zoology</w:t>
      </w:r>
      <w:r w:rsidRPr="00196B46">
        <w:rPr>
          <w:rFonts w:cs="Arial"/>
        </w:rPr>
        <w:t xml:space="preserve">, </w:t>
      </w:r>
      <w:r w:rsidRPr="00196B46">
        <w:rPr>
          <w:rFonts w:cs="Arial"/>
          <w:i/>
          <w:iCs/>
        </w:rPr>
        <w:t>46</w:t>
      </w:r>
      <w:r w:rsidRPr="00196B46">
        <w:rPr>
          <w:rFonts w:cs="Arial"/>
        </w:rPr>
        <w:t>, 419–437. https://doi.org/10.1071/ZO98048</w:t>
      </w:r>
    </w:p>
    <w:p w14:paraId="6DCE2204" w14:textId="77777777" w:rsidR="00196B46" w:rsidRPr="00196B46" w:rsidRDefault="00196B46" w:rsidP="00196B46">
      <w:pPr>
        <w:pStyle w:val="Bibliography"/>
        <w:rPr>
          <w:rFonts w:cs="Arial"/>
        </w:rPr>
      </w:pPr>
      <w:r w:rsidRPr="00196B46">
        <w:rPr>
          <w:rFonts w:cs="Arial"/>
        </w:rPr>
        <w:lastRenderedPageBreak/>
        <w:t xml:space="preserve">Crews, S. C., &amp; Gillespie, R. G. (2010). Molecular systematics of Selenops spiders (Araneae: Selenopidae) from North and Central America: implications for Caribbean biogeography: SYSTEMATICS AND BIOGEOGRAPHY OF SELENOPS. </w:t>
      </w:r>
      <w:r w:rsidRPr="00196B46">
        <w:rPr>
          <w:rFonts w:cs="Arial"/>
          <w:i/>
          <w:iCs/>
        </w:rPr>
        <w:t>Biological Journal of the Linnean Society</w:t>
      </w:r>
      <w:r w:rsidRPr="00196B46">
        <w:rPr>
          <w:rFonts w:cs="Arial"/>
        </w:rPr>
        <w:t xml:space="preserve">, </w:t>
      </w:r>
      <w:r w:rsidRPr="00196B46">
        <w:rPr>
          <w:rFonts w:cs="Arial"/>
          <w:i/>
          <w:iCs/>
        </w:rPr>
        <w:t>101</w:t>
      </w:r>
      <w:r w:rsidRPr="00196B46">
        <w:rPr>
          <w:rFonts w:cs="Arial"/>
        </w:rPr>
        <w:t>(2), 288–322. https://doi.org/10.1111/j.1095-8312.2010.01494.x</w:t>
      </w:r>
    </w:p>
    <w:p w14:paraId="17FBE9C5" w14:textId="77777777" w:rsidR="00196B46" w:rsidRPr="00196B46" w:rsidRDefault="00196B46" w:rsidP="00196B46">
      <w:pPr>
        <w:pStyle w:val="Bibliography"/>
        <w:rPr>
          <w:rFonts w:cs="Arial"/>
        </w:rPr>
      </w:pPr>
      <w:r w:rsidRPr="00196B46">
        <w:rPr>
          <w:rFonts w:cs="Arial"/>
        </w:rPr>
        <w:t xml:space="preserve">Crooks, K. R., &amp; Sanjayan, M. (Eds). (2006). </w:t>
      </w:r>
      <w:r w:rsidRPr="00196B46">
        <w:rPr>
          <w:rFonts w:cs="Arial"/>
          <w:i/>
          <w:iCs/>
        </w:rPr>
        <w:t>Connectivity Conservation</w:t>
      </w:r>
      <w:r w:rsidRPr="00196B46">
        <w:rPr>
          <w:rFonts w:cs="Arial"/>
        </w:rPr>
        <w:t>. Cambridge University Press. Cambridge Core. https://doi.org/10.1017/CBO9780511754821</w:t>
      </w:r>
    </w:p>
    <w:p w14:paraId="3643D6DA" w14:textId="77777777" w:rsidR="00196B46" w:rsidRPr="00196B46" w:rsidRDefault="00196B46" w:rsidP="00196B46">
      <w:pPr>
        <w:pStyle w:val="Bibliography"/>
        <w:rPr>
          <w:rFonts w:cs="Arial"/>
        </w:rPr>
      </w:pPr>
      <w:r w:rsidRPr="00196B46">
        <w:rPr>
          <w:rFonts w:cs="Arial"/>
        </w:rPr>
        <w:t xml:space="preserve">Ellegren, H. (2014). Genome sequencing and population genomics in non-model organisms. </w:t>
      </w:r>
      <w:r w:rsidRPr="00196B46">
        <w:rPr>
          <w:rFonts w:cs="Arial"/>
          <w:i/>
          <w:iCs/>
        </w:rPr>
        <w:t>Trends in Ecology &amp; Evolution</w:t>
      </w:r>
      <w:r w:rsidRPr="00196B46">
        <w:rPr>
          <w:rFonts w:cs="Arial"/>
        </w:rPr>
        <w:t xml:space="preserve">, </w:t>
      </w:r>
      <w:r w:rsidRPr="00196B46">
        <w:rPr>
          <w:rFonts w:cs="Arial"/>
          <w:i/>
          <w:iCs/>
        </w:rPr>
        <w:t>29</w:t>
      </w:r>
      <w:r w:rsidRPr="00196B46">
        <w:rPr>
          <w:rFonts w:cs="Arial"/>
        </w:rPr>
        <w:t>(1), 51–63. https://doi.org/10.1016/j.tree.2013.09.008</w:t>
      </w:r>
    </w:p>
    <w:p w14:paraId="63962A15" w14:textId="77777777" w:rsidR="00196B46" w:rsidRPr="00196B46" w:rsidRDefault="00196B46" w:rsidP="00196B46">
      <w:pPr>
        <w:pStyle w:val="Bibliography"/>
        <w:rPr>
          <w:rFonts w:cs="Arial"/>
        </w:rPr>
      </w:pPr>
      <w:r w:rsidRPr="00196B46">
        <w:rPr>
          <w:rFonts w:cs="Arial"/>
        </w:rPr>
        <w:t xml:space="preserve">Excoffier, L., Smouse, P. E., &amp; Quattro, J. M. (1992). Analysis of molecular variance inferred from metric distances among DNA haplotypes: Application to human mitochondrial DNA restriction data. </w:t>
      </w:r>
      <w:r w:rsidRPr="00196B46">
        <w:rPr>
          <w:rFonts w:cs="Arial"/>
          <w:i/>
          <w:iCs/>
        </w:rPr>
        <w:t>Genetics</w:t>
      </w:r>
      <w:r w:rsidRPr="00196B46">
        <w:rPr>
          <w:rFonts w:cs="Arial"/>
        </w:rPr>
        <w:t xml:space="preserve">, </w:t>
      </w:r>
      <w:r w:rsidRPr="00196B46">
        <w:rPr>
          <w:rFonts w:cs="Arial"/>
          <w:i/>
          <w:iCs/>
        </w:rPr>
        <w:t>131</w:t>
      </w:r>
      <w:r w:rsidRPr="00196B46">
        <w:rPr>
          <w:rFonts w:cs="Arial"/>
        </w:rPr>
        <w:t>(2), 479–491. https://doi.org/10.1093/genetics/131.2.479</w:t>
      </w:r>
    </w:p>
    <w:p w14:paraId="12D94D03" w14:textId="77777777" w:rsidR="00196B46" w:rsidRPr="00196B46" w:rsidRDefault="00196B46" w:rsidP="00196B46">
      <w:pPr>
        <w:pStyle w:val="Bibliography"/>
        <w:rPr>
          <w:rFonts w:cs="Arial"/>
        </w:rPr>
      </w:pPr>
      <w:r w:rsidRPr="00196B46">
        <w:rPr>
          <w:rFonts w:cs="Arial"/>
        </w:rPr>
        <w:t xml:space="preserve">Fahrig, L. (2003). Effects of Habitat Fragmentation on Biodiversity. </w:t>
      </w:r>
      <w:r w:rsidRPr="00196B46">
        <w:rPr>
          <w:rFonts w:cs="Arial"/>
          <w:i/>
          <w:iCs/>
        </w:rPr>
        <w:t>Annual Review of Ecology, Evolution, and Systematics</w:t>
      </w:r>
      <w:r w:rsidRPr="00196B46">
        <w:rPr>
          <w:rFonts w:cs="Arial"/>
        </w:rPr>
        <w:t xml:space="preserve">, </w:t>
      </w:r>
      <w:r w:rsidRPr="00196B46">
        <w:rPr>
          <w:rFonts w:cs="Arial"/>
          <w:i/>
          <w:iCs/>
        </w:rPr>
        <w:t>34</w:t>
      </w:r>
      <w:r w:rsidRPr="00196B46">
        <w:rPr>
          <w:rFonts w:cs="Arial"/>
        </w:rPr>
        <w:t>(1), 487–515. https://doi.org/10.1146/annurev.ecolsys.34.011802.132419</w:t>
      </w:r>
    </w:p>
    <w:p w14:paraId="356C165A" w14:textId="77777777" w:rsidR="00196B46" w:rsidRPr="00196B46" w:rsidRDefault="00196B46" w:rsidP="00196B46">
      <w:pPr>
        <w:pStyle w:val="Bibliography"/>
        <w:rPr>
          <w:rFonts w:cs="Arial"/>
        </w:rPr>
      </w:pPr>
      <w:r w:rsidRPr="00196B46">
        <w:rPr>
          <w:rFonts w:cs="Arial"/>
        </w:rPr>
        <w:t xml:space="preserve">Folmer, O., Black, M., Hoeh, W., Lutz, R., &amp; Vrijenhoek, R. (1994). DNA primers for amplification of mitochondrial cytochrome c oxidase subunit I from diverse metazoan invertebrates. </w:t>
      </w:r>
      <w:r w:rsidRPr="00196B46">
        <w:rPr>
          <w:rFonts w:cs="Arial"/>
          <w:i/>
          <w:iCs/>
        </w:rPr>
        <w:t>Molecular Marine Biology and Biotechnology</w:t>
      </w:r>
      <w:r w:rsidRPr="00196B46">
        <w:rPr>
          <w:rFonts w:cs="Arial"/>
        </w:rPr>
        <w:t xml:space="preserve">, </w:t>
      </w:r>
      <w:r w:rsidRPr="00196B46">
        <w:rPr>
          <w:rFonts w:cs="Arial"/>
          <w:i/>
          <w:iCs/>
        </w:rPr>
        <w:t>3</w:t>
      </w:r>
      <w:r w:rsidRPr="00196B46">
        <w:rPr>
          <w:rFonts w:cs="Arial"/>
        </w:rPr>
        <w:t>(5), 294–299.</w:t>
      </w:r>
    </w:p>
    <w:p w14:paraId="0EA23F42" w14:textId="77777777" w:rsidR="00196B46" w:rsidRPr="00196B46" w:rsidRDefault="00196B46" w:rsidP="00196B46">
      <w:pPr>
        <w:pStyle w:val="Bibliography"/>
        <w:rPr>
          <w:rFonts w:cs="Arial"/>
        </w:rPr>
      </w:pPr>
      <w:r w:rsidRPr="00196B46">
        <w:rPr>
          <w:rFonts w:cs="Arial"/>
        </w:rPr>
        <w:lastRenderedPageBreak/>
        <w:t xml:space="preserve">Frankham, R. (2003). Genetics and conservation biology. </w:t>
      </w:r>
      <w:r w:rsidRPr="00196B46">
        <w:rPr>
          <w:rFonts w:cs="Arial"/>
          <w:i/>
          <w:iCs/>
        </w:rPr>
        <w:t>Comptes Rendus Biologies</w:t>
      </w:r>
      <w:r w:rsidRPr="00196B46">
        <w:rPr>
          <w:rFonts w:cs="Arial"/>
        </w:rPr>
        <w:t xml:space="preserve">, </w:t>
      </w:r>
      <w:r w:rsidRPr="00196B46">
        <w:rPr>
          <w:rFonts w:cs="Arial"/>
          <w:i/>
          <w:iCs/>
        </w:rPr>
        <w:t>326</w:t>
      </w:r>
      <w:r w:rsidRPr="00196B46">
        <w:rPr>
          <w:rFonts w:cs="Arial"/>
        </w:rPr>
        <w:t>(SUPPL. 1), 22–29. https://doi.org/10.1016/S1631-0691(03)00023-4</w:t>
      </w:r>
    </w:p>
    <w:p w14:paraId="0161822D" w14:textId="77777777" w:rsidR="00196B46" w:rsidRPr="00196B46" w:rsidRDefault="00196B46" w:rsidP="00196B46">
      <w:pPr>
        <w:pStyle w:val="Bibliography"/>
        <w:rPr>
          <w:rFonts w:cs="Arial"/>
        </w:rPr>
      </w:pPr>
      <w:r w:rsidRPr="00196B46">
        <w:rPr>
          <w:rFonts w:cs="Arial"/>
        </w:rPr>
        <w:t xml:space="preserve">Frankham, R., Ballou, J. D., Ralls, K., Eldridge, M., Dudash, M. R., Fenster, C. B., Lacy, R. C., &amp; Sunnucks, P. (2017). </w:t>
      </w:r>
      <w:r w:rsidRPr="00196B46">
        <w:rPr>
          <w:rFonts w:cs="Arial"/>
          <w:i/>
          <w:iCs/>
        </w:rPr>
        <w:t>Genetic Management of Fragmented Animal and Plant Populations</w:t>
      </w:r>
      <w:r w:rsidRPr="00196B46">
        <w:rPr>
          <w:rFonts w:cs="Arial"/>
        </w:rPr>
        <w:t>. Oxford University Press. https://doi.org/10.1093/oso/9780198783398.001.0001</w:t>
      </w:r>
    </w:p>
    <w:p w14:paraId="14CB987F" w14:textId="77777777" w:rsidR="00196B46" w:rsidRPr="00196B46" w:rsidRDefault="00196B46" w:rsidP="00196B46">
      <w:pPr>
        <w:pStyle w:val="Bibliography"/>
        <w:rPr>
          <w:rFonts w:cs="Arial"/>
        </w:rPr>
      </w:pPr>
      <w:r w:rsidRPr="00196B46">
        <w:rPr>
          <w:rFonts w:cs="Arial"/>
        </w:rPr>
        <w:t xml:space="preserve">Giraud, T. (2025). </w:t>
      </w:r>
      <w:r w:rsidRPr="00196B46">
        <w:rPr>
          <w:rFonts w:cs="Arial"/>
          <w:i/>
          <w:iCs/>
        </w:rPr>
        <w:t>maptiles: Download and Display Map Tiles</w:t>
      </w:r>
      <w:r w:rsidRPr="00196B46">
        <w:rPr>
          <w:rFonts w:cs="Arial"/>
        </w:rPr>
        <w:t>. https://doi.org/10.32614/CRAN.package.maptiles</w:t>
      </w:r>
    </w:p>
    <w:p w14:paraId="61A5F0B1" w14:textId="77777777" w:rsidR="00196B46" w:rsidRPr="00196B46" w:rsidRDefault="00196B46" w:rsidP="00196B46">
      <w:pPr>
        <w:pStyle w:val="Bibliography"/>
        <w:rPr>
          <w:rFonts w:cs="Arial"/>
        </w:rPr>
      </w:pPr>
      <w:r w:rsidRPr="00196B46">
        <w:rPr>
          <w:rFonts w:cs="Arial"/>
        </w:rPr>
        <w:t xml:space="preserve">Goudet, J., &amp; Jombart, T. (2022). </w:t>
      </w:r>
      <w:r w:rsidRPr="00196B46">
        <w:rPr>
          <w:rFonts w:cs="Arial"/>
          <w:i/>
          <w:iCs/>
        </w:rPr>
        <w:t>hierfstat: Estimation and Tests of Hierarchical F-Statistics</w:t>
      </w:r>
      <w:r w:rsidRPr="00196B46">
        <w:rPr>
          <w:rFonts w:cs="Arial"/>
        </w:rPr>
        <w:t>. https://doi.org/10.32614/CRAN.package.hierfstat</w:t>
      </w:r>
    </w:p>
    <w:p w14:paraId="360F9041" w14:textId="77777777" w:rsidR="00196B46" w:rsidRPr="00196B46" w:rsidRDefault="00196B46" w:rsidP="00196B46">
      <w:pPr>
        <w:pStyle w:val="Bibliography"/>
        <w:rPr>
          <w:rFonts w:cs="Arial"/>
        </w:rPr>
      </w:pPr>
      <w:r w:rsidRPr="00196B46">
        <w:rPr>
          <w:rFonts w:cs="Arial"/>
        </w:rPr>
        <w:t xml:space="preserve">Grant, W., &amp; Bowen, B. (1998). Shallow population histories in deep evolutionary lineages of marine fishes: Insights from sardines and anchovies and lessons for conservation. </w:t>
      </w:r>
      <w:r w:rsidRPr="00196B46">
        <w:rPr>
          <w:rFonts w:cs="Arial"/>
          <w:i/>
          <w:iCs/>
        </w:rPr>
        <w:t>Journal of Heredity</w:t>
      </w:r>
      <w:r w:rsidRPr="00196B46">
        <w:rPr>
          <w:rFonts w:cs="Arial"/>
        </w:rPr>
        <w:t xml:space="preserve">, </w:t>
      </w:r>
      <w:r w:rsidRPr="00196B46">
        <w:rPr>
          <w:rFonts w:cs="Arial"/>
          <w:i/>
          <w:iCs/>
        </w:rPr>
        <w:t>89</w:t>
      </w:r>
      <w:r w:rsidRPr="00196B46">
        <w:rPr>
          <w:rFonts w:cs="Arial"/>
        </w:rPr>
        <w:t>(5), 415–426. https://doi.org/10.1093/jhered/89.5.415</w:t>
      </w:r>
    </w:p>
    <w:p w14:paraId="0E1DD699" w14:textId="77777777" w:rsidR="00196B46" w:rsidRPr="00196B46" w:rsidRDefault="00196B46" w:rsidP="00196B46">
      <w:pPr>
        <w:pStyle w:val="Bibliography"/>
        <w:rPr>
          <w:rFonts w:cs="Arial"/>
        </w:rPr>
      </w:pPr>
      <w:r w:rsidRPr="00196B46">
        <w:rPr>
          <w:rFonts w:cs="Arial"/>
        </w:rPr>
        <w:t xml:space="preserve">Haddad, N. M., Brudvig, L. A., Clobert, J., Davies, K. F., Gonzalez, A., Holt, R. D., Lovejoy, T. E., Sexton, J. O., Austin, M. P., Collins, C. D., Cook, W. M., Damschen, E. I., Ewers, R. M., Foster, B. L., Jenkins, C. N., King, A. J., Laurance, W. F., Levey, D. J., Margules, C. R., … Townshend, J. R. (2015). Habitat fragmentation and its lasting impact on Earth’s ecosystems. </w:t>
      </w:r>
      <w:r w:rsidRPr="00196B46">
        <w:rPr>
          <w:rFonts w:cs="Arial"/>
          <w:i/>
          <w:iCs/>
        </w:rPr>
        <w:t>Science Advances</w:t>
      </w:r>
      <w:r w:rsidRPr="00196B46">
        <w:rPr>
          <w:rFonts w:cs="Arial"/>
        </w:rPr>
        <w:t xml:space="preserve">, </w:t>
      </w:r>
      <w:r w:rsidRPr="00196B46">
        <w:rPr>
          <w:rFonts w:cs="Arial"/>
          <w:i/>
          <w:iCs/>
        </w:rPr>
        <w:t>1</w:t>
      </w:r>
      <w:r w:rsidRPr="00196B46">
        <w:rPr>
          <w:rFonts w:cs="Arial"/>
        </w:rPr>
        <w:t>(2), e1500052. https://doi.org/10.1126/sciadv.1500052</w:t>
      </w:r>
    </w:p>
    <w:p w14:paraId="29BE5BEA" w14:textId="77777777" w:rsidR="00196B46" w:rsidRPr="00196B46" w:rsidRDefault="00196B46" w:rsidP="00196B46">
      <w:pPr>
        <w:pStyle w:val="Bibliography"/>
        <w:rPr>
          <w:rFonts w:cs="Arial"/>
        </w:rPr>
      </w:pPr>
      <w:r w:rsidRPr="00196B46">
        <w:rPr>
          <w:rFonts w:cs="Arial"/>
        </w:rPr>
        <w:lastRenderedPageBreak/>
        <w:t xml:space="preserve">Hanski,  llkka. (1999). </w:t>
      </w:r>
      <w:r w:rsidRPr="00196B46">
        <w:rPr>
          <w:rFonts w:cs="Arial"/>
          <w:i/>
          <w:iCs/>
        </w:rPr>
        <w:t>Metapopulation Ecology</w:t>
      </w:r>
      <w:r w:rsidRPr="00196B46">
        <w:rPr>
          <w:rFonts w:cs="Arial"/>
        </w:rPr>
        <w:t>. Oxford University Press. https://doi.org/10.1093/oso/9780198540663.001.0001</w:t>
      </w:r>
    </w:p>
    <w:p w14:paraId="06D8D98E" w14:textId="77777777" w:rsidR="00196B46" w:rsidRPr="00196B46" w:rsidRDefault="00196B46" w:rsidP="00196B46">
      <w:pPr>
        <w:pStyle w:val="Bibliography"/>
        <w:rPr>
          <w:rFonts w:cs="Arial"/>
        </w:rPr>
      </w:pPr>
      <w:r w:rsidRPr="00196B46">
        <w:rPr>
          <w:rFonts w:cs="Arial"/>
        </w:rPr>
        <w:t xml:space="preserve">Hijmans, R. J. (2024). </w:t>
      </w:r>
      <w:r w:rsidRPr="00196B46">
        <w:rPr>
          <w:rFonts w:cs="Arial"/>
          <w:i/>
          <w:iCs/>
        </w:rPr>
        <w:t>geosphere: Spherical Trigonometry</w:t>
      </w:r>
      <w:r w:rsidRPr="00196B46">
        <w:rPr>
          <w:rFonts w:cs="Arial"/>
        </w:rPr>
        <w:t>. https://doi.org/10.32614/CRAN.package.geosphere</w:t>
      </w:r>
    </w:p>
    <w:p w14:paraId="481EE33E" w14:textId="77777777" w:rsidR="00196B46" w:rsidRPr="00196B46" w:rsidRDefault="00196B46" w:rsidP="00196B46">
      <w:pPr>
        <w:pStyle w:val="Bibliography"/>
        <w:rPr>
          <w:rFonts w:cs="Arial"/>
        </w:rPr>
      </w:pPr>
      <w:r w:rsidRPr="00196B46">
        <w:rPr>
          <w:rFonts w:cs="Arial"/>
        </w:rPr>
        <w:t xml:space="preserve">Hohenlohe, P. A., Funk, W. C., &amp; Rajora, O. P. (2021). Population genomics for wildlife conservation and management. </w:t>
      </w:r>
      <w:r w:rsidRPr="00196B46">
        <w:rPr>
          <w:rFonts w:cs="Arial"/>
          <w:i/>
          <w:iCs/>
        </w:rPr>
        <w:t>Molecular Ecology</w:t>
      </w:r>
      <w:r w:rsidRPr="00196B46">
        <w:rPr>
          <w:rFonts w:cs="Arial"/>
        </w:rPr>
        <w:t xml:space="preserve">, </w:t>
      </w:r>
      <w:r w:rsidRPr="00196B46">
        <w:rPr>
          <w:rFonts w:cs="Arial"/>
          <w:i/>
          <w:iCs/>
        </w:rPr>
        <w:t>30</w:t>
      </w:r>
      <w:r w:rsidRPr="00196B46">
        <w:rPr>
          <w:rFonts w:cs="Arial"/>
        </w:rPr>
        <w:t>(1), 62. https://doi.org/10.1111/MEC.15720</w:t>
      </w:r>
    </w:p>
    <w:p w14:paraId="6400A660" w14:textId="77777777" w:rsidR="00196B46" w:rsidRPr="00196B46" w:rsidRDefault="00196B46" w:rsidP="00196B46">
      <w:pPr>
        <w:pStyle w:val="Bibliography"/>
        <w:rPr>
          <w:rFonts w:cs="Arial"/>
        </w:rPr>
      </w:pPr>
      <w:r w:rsidRPr="00196B46">
        <w:rPr>
          <w:rFonts w:cs="Arial"/>
        </w:rPr>
        <w:t xml:space="preserve">Holderegger, R., &amp; Wagner, H. H. (2008). Landscape Genetics. In </w:t>
      </w:r>
      <w:r w:rsidRPr="00196B46">
        <w:rPr>
          <w:rFonts w:cs="Arial"/>
          <w:i/>
          <w:iCs/>
        </w:rPr>
        <w:t>BioScience</w:t>
      </w:r>
      <w:r w:rsidRPr="00196B46">
        <w:rPr>
          <w:rFonts w:cs="Arial"/>
        </w:rPr>
        <w:t xml:space="preserve"> (Vol. 58, Issue 3, pp. 199–207).</w:t>
      </w:r>
    </w:p>
    <w:p w14:paraId="07FB9D73" w14:textId="77777777" w:rsidR="00196B46" w:rsidRPr="00196B46" w:rsidRDefault="00196B46" w:rsidP="00196B46">
      <w:pPr>
        <w:pStyle w:val="Bibliography"/>
        <w:rPr>
          <w:rFonts w:cs="Arial"/>
        </w:rPr>
      </w:pPr>
      <w:r w:rsidRPr="00196B46">
        <w:rPr>
          <w:rFonts w:cs="Arial"/>
        </w:rPr>
        <w:t xml:space="preserve">Jombart, T. (2008). adegenet: A R package for the multivariate analysis of genetic markers. </w:t>
      </w:r>
      <w:r w:rsidRPr="00196B46">
        <w:rPr>
          <w:rFonts w:cs="Arial"/>
          <w:i/>
          <w:iCs/>
        </w:rPr>
        <w:t>Bioinformatics</w:t>
      </w:r>
      <w:r w:rsidRPr="00196B46">
        <w:rPr>
          <w:rFonts w:cs="Arial"/>
        </w:rPr>
        <w:t xml:space="preserve">, </w:t>
      </w:r>
      <w:r w:rsidRPr="00196B46">
        <w:rPr>
          <w:rFonts w:cs="Arial"/>
          <w:i/>
          <w:iCs/>
        </w:rPr>
        <w:t>24</w:t>
      </w:r>
      <w:r w:rsidRPr="00196B46">
        <w:rPr>
          <w:rFonts w:cs="Arial"/>
        </w:rPr>
        <w:t>, 1403–1405. https://doi.org/10.1093/bioinformatics/btn129</w:t>
      </w:r>
    </w:p>
    <w:p w14:paraId="5AD3FFD2" w14:textId="77777777" w:rsidR="00196B46" w:rsidRPr="00196B46" w:rsidRDefault="00196B46" w:rsidP="00196B46">
      <w:pPr>
        <w:pStyle w:val="Bibliography"/>
        <w:rPr>
          <w:rFonts w:cs="Arial"/>
        </w:rPr>
      </w:pPr>
      <w:r w:rsidRPr="00196B46">
        <w:rPr>
          <w:rFonts w:cs="Arial"/>
        </w:rPr>
        <w:t xml:space="preserve">Jombart, T., Devillard, S., &amp; Balloux, F. (2010). Discriminant analysis of principal components: A new method for the analysis of genetically structured populations. </w:t>
      </w:r>
      <w:r w:rsidRPr="00196B46">
        <w:rPr>
          <w:rFonts w:cs="Arial"/>
          <w:i/>
          <w:iCs/>
        </w:rPr>
        <w:t>BMC Genetics</w:t>
      </w:r>
      <w:r w:rsidRPr="00196B46">
        <w:rPr>
          <w:rFonts w:cs="Arial"/>
        </w:rPr>
        <w:t xml:space="preserve">, </w:t>
      </w:r>
      <w:r w:rsidRPr="00196B46">
        <w:rPr>
          <w:rFonts w:cs="Arial"/>
          <w:i/>
          <w:iCs/>
        </w:rPr>
        <w:t>11</w:t>
      </w:r>
      <w:r w:rsidRPr="00196B46">
        <w:rPr>
          <w:rFonts w:cs="Arial"/>
        </w:rPr>
        <w:t>, 94. https://doi.org/10.1186/1471-2156-11-94</w:t>
      </w:r>
    </w:p>
    <w:p w14:paraId="1209FA3A" w14:textId="77777777" w:rsidR="00196B46" w:rsidRPr="00196B46" w:rsidRDefault="00196B46" w:rsidP="00196B46">
      <w:pPr>
        <w:pStyle w:val="Bibliography"/>
        <w:rPr>
          <w:rFonts w:cs="Arial"/>
        </w:rPr>
      </w:pPr>
      <w:r w:rsidRPr="00196B46">
        <w:rPr>
          <w:rFonts w:cs="Arial"/>
        </w:rPr>
        <w:t xml:space="preserve">Levins, R. (1969). Some Demographic and Genetic Consequences of Environmental Heterogeneity for Biological Control. </w:t>
      </w:r>
      <w:r w:rsidRPr="00196B46">
        <w:rPr>
          <w:rFonts w:cs="Arial"/>
          <w:i/>
          <w:iCs/>
        </w:rPr>
        <w:t>Bulletin of the Entomological Society of America</w:t>
      </w:r>
      <w:r w:rsidRPr="00196B46">
        <w:rPr>
          <w:rFonts w:cs="Arial"/>
        </w:rPr>
        <w:t xml:space="preserve">, </w:t>
      </w:r>
      <w:r w:rsidRPr="00196B46">
        <w:rPr>
          <w:rFonts w:cs="Arial"/>
          <w:i/>
          <w:iCs/>
        </w:rPr>
        <w:t>15</w:t>
      </w:r>
      <w:r w:rsidRPr="00196B46">
        <w:rPr>
          <w:rFonts w:cs="Arial"/>
        </w:rPr>
        <w:t>(3), 237–240. https://doi.org/10.1093/besa/15.3.237</w:t>
      </w:r>
    </w:p>
    <w:p w14:paraId="23D13BDE" w14:textId="77777777" w:rsidR="00196B46" w:rsidRPr="00196B46" w:rsidRDefault="00196B46" w:rsidP="00196B46">
      <w:pPr>
        <w:pStyle w:val="Bibliography"/>
        <w:rPr>
          <w:rFonts w:cs="Arial"/>
        </w:rPr>
      </w:pPr>
      <w:r w:rsidRPr="00196B46">
        <w:rPr>
          <w:rFonts w:cs="Arial"/>
        </w:rPr>
        <w:t xml:space="preserve">Lou, R. N., Jacobs, A., Wilder, A. P., &amp; Therkildsen, N. O. (2021). A beginner’s guide to low-coverage whole genome sequencing for population genomics. </w:t>
      </w:r>
      <w:r w:rsidRPr="00196B46">
        <w:rPr>
          <w:rFonts w:cs="Arial"/>
          <w:i/>
          <w:iCs/>
        </w:rPr>
        <w:t>Molecular Ecology</w:t>
      </w:r>
      <w:r w:rsidRPr="00196B46">
        <w:rPr>
          <w:rFonts w:cs="Arial"/>
        </w:rPr>
        <w:t xml:space="preserve">, </w:t>
      </w:r>
      <w:r w:rsidRPr="00196B46">
        <w:rPr>
          <w:rFonts w:cs="Arial"/>
          <w:i/>
          <w:iCs/>
        </w:rPr>
        <w:t>30</w:t>
      </w:r>
      <w:r w:rsidRPr="00196B46">
        <w:rPr>
          <w:rFonts w:cs="Arial"/>
        </w:rPr>
        <w:t>(23), 5966–5993. https://doi.org/10.1111/mec.16077</w:t>
      </w:r>
    </w:p>
    <w:p w14:paraId="2CF2815A" w14:textId="77777777" w:rsidR="00196B46" w:rsidRPr="00196B46" w:rsidRDefault="00196B46" w:rsidP="00196B46">
      <w:pPr>
        <w:pStyle w:val="Bibliography"/>
        <w:rPr>
          <w:rFonts w:cs="Arial"/>
        </w:rPr>
      </w:pPr>
      <w:r w:rsidRPr="00196B46">
        <w:rPr>
          <w:rFonts w:cs="Arial"/>
        </w:rPr>
        <w:lastRenderedPageBreak/>
        <w:t xml:space="preserve">Lowe, W. H., &amp; Allendorf, F. W. (2010). What can genetics tell us about population connectivity? </w:t>
      </w:r>
      <w:r w:rsidRPr="00196B46">
        <w:rPr>
          <w:rFonts w:cs="Arial"/>
          <w:i/>
          <w:iCs/>
        </w:rPr>
        <w:t>Molecular Ecology</w:t>
      </w:r>
      <w:r w:rsidRPr="00196B46">
        <w:rPr>
          <w:rFonts w:cs="Arial"/>
        </w:rPr>
        <w:t xml:space="preserve">, </w:t>
      </w:r>
      <w:r w:rsidRPr="00196B46">
        <w:rPr>
          <w:rFonts w:cs="Arial"/>
          <w:i/>
          <w:iCs/>
        </w:rPr>
        <w:t>19</w:t>
      </w:r>
      <w:r w:rsidRPr="00196B46">
        <w:rPr>
          <w:rFonts w:cs="Arial"/>
        </w:rPr>
        <w:t>(15), 3038–3051. https://doi.org/10.1111/j.1365-294X.2010.04688.x</w:t>
      </w:r>
    </w:p>
    <w:p w14:paraId="6E591B08" w14:textId="77777777" w:rsidR="00196B46" w:rsidRPr="00196B46" w:rsidRDefault="00196B46" w:rsidP="00196B46">
      <w:pPr>
        <w:pStyle w:val="Bibliography"/>
        <w:rPr>
          <w:rFonts w:cs="Arial"/>
        </w:rPr>
      </w:pPr>
      <w:r w:rsidRPr="00196B46">
        <w:rPr>
          <w:rFonts w:cs="Arial"/>
        </w:rPr>
        <w:t xml:space="preserve">Milano, F., Cardoso, P., Mammola, S., Smith, H., &amp; Isaia, M. (2022). Trends in habitat suitability and conservation status of aquatic spiders in Europe. </w:t>
      </w:r>
      <w:r w:rsidRPr="00196B46">
        <w:rPr>
          <w:rFonts w:cs="Arial"/>
          <w:i/>
          <w:iCs/>
        </w:rPr>
        <w:t>Biological Conservation</w:t>
      </w:r>
      <w:r w:rsidRPr="00196B46">
        <w:rPr>
          <w:rFonts w:cs="Arial"/>
        </w:rPr>
        <w:t xml:space="preserve">, </w:t>
      </w:r>
      <w:r w:rsidRPr="00196B46">
        <w:rPr>
          <w:rFonts w:cs="Arial"/>
          <w:i/>
          <w:iCs/>
        </w:rPr>
        <w:t>275</w:t>
      </w:r>
      <w:r w:rsidRPr="00196B46">
        <w:rPr>
          <w:rFonts w:cs="Arial"/>
        </w:rPr>
        <w:t>. https://doi.org/10.1016/j.biocon.2022.109767</w:t>
      </w:r>
    </w:p>
    <w:p w14:paraId="6B6EEABB" w14:textId="77777777" w:rsidR="00196B46" w:rsidRPr="00196B46" w:rsidRDefault="00196B46" w:rsidP="00196B46">
      <w:pPr>
        <w:pStyle w:val="Bibliography"/>
        <w:rPr>
          <w:rFonts w:cs="Arial"/>
        </w:rPr>
      </w:pPr>
      <w:r w:rsidRPr="00196B46">
        <w:rPr>
          <w:rFonts w:cs="Arial"/>
        </w:rPr>
        <w:t xml:space="preserve">Nei, M. (1987). Molecular Evolutionary Genetics. In </w:t>
      </w:r>
      <w:r w:rsidRPr="00196B46">
        <w:rPr>
          <w:rFonts w:cs="Arial"/>
          <w:i/>
          <w:iCs/>
        </w:rPr>
        <w:t>Molecular Evolutionary Genetics</w:t>
      </w:r>
      <w:r w:rsidRPr="00196B46">
        <w:rPr>
          <w:rFonts w:cs="Arial"/>
        </w:rPr>
        <w:t>. Columbia University Press. https://doi.org/10.7312/nei-92038</w:t>
      </w:r>
    </w:p>
    <w:p w14:paraId="192FE645" w14:textId="77777777" w:rsidR="00196B46" w:rsidRPr="00196B46" w:rsidRDefault="00196B46" w:rsidP="00196B46">
      <w:pPr>
        <w:pStyle w:val="Bibliography"/>
        <w:rPr>
          <w:rFonts w:cs="Arial"/>
        </w:rPr>
      </w:pPr>
      <w:r w:rsidRPr="00196B46">
        <w:rPr>
          <w:rFonts w:cs="Arial"/>
        </w:rPr>
        <w:t xml:space="preserve">Oksanen, J., Simpson, G. L., Blanchet, F. G., Kindt, R., Legendre, P., Minchin, P. R., O’Hara, R. B., Solymos, P., Stevens, M. H. H., Szoecs, E., Wagner, H., Barbour, M., Bedward, M., Bolker, B., Borcard, D., Borman, T., Carvalho, G., Chirico, M., Caceres, M. D., … Weedon, J. (2025). </w:t>
      </w:r>
      <w:r w:rsidRPr="00196B46">
        <w:rPr>
          <w:rFonts w:cs="Arial"/>
          <w:i/>
          <w:iCs/>
        </w:rPr>
        <w:t>vegan: Community Ecology Package</w:t>
      </w:r>
      <w:r w:rsidRPr="00196B46">
        <w:rPr>
          <w:rFonts w:cs="Arial"/>
        </w:rPr>
        <w:t>. https://doi.org/10.32614/CRAN.package.vegan</w:t>
      </w:r>
    </w:p>
    <w:p w14:paraId="5DA1B2EA" w14:textId="77777777" w:rsidR="00196B46" w:rsidRPr="00196B46" w:rsidRDefault="00196B46" w:rsidP="00196B46">
      <w:pPr>
        <w:pStyle w:val="Bibliography"/>
        <w:rPr>
          <w:rFonts w:cs="Arial"/>
        </w:rPr>
      </w:pPr>
      <w:r w:rsidRPr="00196B46">
        <w:rPr>
          <w:rFonts w:cs="Arial"/>
        </w:rPr>
        <w:t xml:space="preserve">Opdam, P., &amp; Wascher, D. (2004). Climate change meets habitat fragmentation: Linking landscape and biogeographical scale levels in research and conservation. </w:t>
      </w:r>
      <w:r w:rsidRPr="00196B46">
        <w:rPr>
          <w:rFonts w:cs="Arial"/>
          <w:i/>
          <w:iCs/>
        </w:rPr>
        <w:t>Biological Conservation</w:t>
      </w:r>
      <w:r w:rsidRPr="00196B46">
        <w:rPr>
          <w:rFonts w:cs="Arial"/>
        </w:rPr>
        <w:t xml:space="preserve">, </w:t>
      </w:r>
      <w:r w:rsidRPr="00196B46">
        <w:rPr>
          <w:rFonts w:cs="Arial"/>
          <w:i/>
          <w:iCs/>
        </w:rPr>
        <w:t>117</w:t>
      </w:r>
      <w:r w:rsidRPr="00196B46">
        <w:rPr>
          <w:rFonts w:cs="Arial"/>
        </w:rPr>
        <w:t>(3), 285–297. https://doi.org/10.1016/j.biocon.2003.12.008</w:t>
      </w:r>
    </w:p>
    <w:p w14:paraId="1F59B0A6" w14:textId="77777777" w:rsidR="00196B46" w:rsidRPr="00196B46" w:rsidRDefault="00196B46" w:rsidP="00196B46">
      <w:pPr>
        <w:pStyle w:val="Bibliography"/>
        <w:rPr>
          <w:rFonts w:cs="Arial"/>
        </w:rPr>
      </w:pPr>
      <w:r w:rsidRPr="00196B46">
        <w:rPr>
          <w:rFonts w:cs="Arial"/>
        </w:rPr>
        <w:t xml:space="preserve">Paradis, E. (2010). pegas: An R package for population genetics with an integrated–modular approach. </w:t>
      </w:r>
      <w:r w:rsidRPr="00196B46">
        <w:rPr>
          <w:rFonts w:cs="Arial"/>
          <w:i/>
          <w:iCs/>
        </w:rPr>
        <w:t>Bioinformatics</w:t>
      </w:r>
      <w:r w:rsidRPr="00196B46">
        <w:rPr>
          <w:rFonts w:cs="Arial"/>
        </w:rPr>
        <w:t xml:space="preserve">, </w:t>
      </w:r>
      <w:r w:rsidRPr="00196B46">
        <w:rPr>
          <w:rFonts w:cs="Arial"/>
          <w:i/>
          <w:iCs/>
        </w:rPr>
        <w:t>26</w:t>
      </w:r>
      <w:r w:rsidRPr="00196B46">
        <w:rPr>
          <w:rFonts w:cs="Arial"/>
        </w:rPr>
        <w:t>, 419–420. https://doi.org/10.1093/bioinformatics/btp696</w:t>
      </w:r>
    </w:p>
    <w:p w14:paraId="4EDA8A86" w14:textId="77777777" w:rsidR="00196B46" w:rsidRPr="00196B46" w:rsidRDefault="00196B46" w:rsidP="00196B46">
      <w:pPr>
        <w:pStyle w:val="Bibliography"/>
        <w:rPr>
          <w:rFonts w:cs="Arial"/>
        </w:rPr>
      </w:pPr>
      <w:r w:rsidRPr="00196B46">
        <w:rPr>
          <w:rFonts w:cs="Arial"/>
        </w:rPr>
        <w:lastRenderedPageBreak/>
        <w:t xml:space="preserve">Paradis, E., &amp; Schliep, K. (2019). ape 5.0: An environment for modern phylogenetics and evolutionary analyses in R. </w:t>
      </w:r>
      <w:r w:rsidRPr="00196B46">
        <w:rPr>
          <w:rFonts w:cs="Arial"/>
          <w:i/>
          <w:iCs/>
        </w:rPr>
        <w:t>Bioinformatics</w:t>
      </w:r>
      <w:r w:rsidRPr="00196B46">
        <w:rPr>
          <w:rFonts w:cs="Arial"/>
        </w:rPr>
        <w:t xml:space="preserve">, </w:t>
      </w:r>
      <w:r w:rsidRPr="00196B46">
        <w:rPr>
          <w:rFonts w:cs="Arial"/>
          <w:i/>
          <w:iCs/>
        </w:rPr>
        <w:t>35</w:t>
      </w:r>
      <w:r w:rsidRPr="00196B46">
        <w:rPr>
          <w:rFonts w:cs="Arial"/>
        </w:rPr>
        <w:t>, 526–528. https://doi.org/10.1093/bioinformatics/bty633</w:t>
      </w:r>
    </w:p>
    <w:p w14:paraId="310115B1" w14:textId="77777777" w:rsidR="00196B46" w:rsidRPr="00196B46" w:rsidRDefault="00196B46" w:rsidP="00196B46">
      <w:pPr>
        <w:pStyle w:val="Bibliography"/>
        <w:rPr>
          <w:rFonts w:cs="Arial"/>
        </w:rPr>
      </w:pPr>
      <w:r w:rsidRPr="00196B46">
        <w:rPr>
          <w:rFonts w:cs="Arial"/>
        </w:rPr>
        <w:t xml:space="preserve">Planas, E., Fernández-Montraveta, C., &amp; Ribera, C. (2013). Molecular systematics of the wolf spider genus Lycosa (Araneae: Lycosidae) in the Western Mediterranean Basin. </w:t>
      </w:r>
      <w:r w:rsidRPr="00196B46">
        <w:rPr>
          <w:rFonts w:cs="Arial"/>
          <w:i/>
          <w:iCs/>
        </w:rPr>
        <w:t>Molecular Phylogenetics and Evolution</w:t>
      </w:r>
      <w:r w:rsidRPr="00196B46">
        <w:rPr>
          <w:rFonts w:cs="Arial"/>
        </w:rPr>
        <w:t xml:space="preserve">, </w:t>
      </w:r>
      <w:r w:rsidRPr="00196B46">
        <w:rPr>
          <w:rFonts w:cs="Arial"/>
          <w:i/>
          <w:iCs/>
        </w:rPr>
        <w:t>67</w:t>
      </w:r>
      <w:r w:rsidRPr="00196B46">
        <w:rPr>
          <w:rFonts w:cs="Arial"/>
        </w:rPr>
        <w:t>(2), 414–428. https://doi.org/10.1016/j.ympev.2013.02.006</w:t>
      </w:r>
    </w:p>
    <w:p w14:paraId="11A9E711" w14:textId="77777777" w:rsidR="00196B46" w:rsidRPr="00196B46" w:rsidRDefault="00196B46" w:rsidP="00196B46">
      <w:pPr>
        <w:pStyle w:val="Bibliography"/>
        <w:rPr>
          <w:rFonts w:cs="Arial"/>
        </w:rPr>
      </w:pPr>
      <w:r w:rsidRPr="00196B46">
        <w:rPr>
          <w:rFonts w:cs="Arial"/>
        </w:rPr>
        <w:t xml:space="preserve">R Core Team. (2025). </w:t>
      </w:r>
      <w:r w:rsidRPr="00196B46">
        <w:rPr>
          <w:rFonts w:cs="Arial"/>
          <w:i/>
          <w:iCs/>
        </w:rPr>
        <w:t>R: A Language and Environment for Statistical Computing</w:t>
      </w:r>
      <w:r w:rsidRPr="00196B46">
        <w:rPr>
          <w:rFonts w:cs="Arial"/>
        </w:rPr>
        <w:t>. R Foundation for Statistical Computing. https://www.R-project.org/</w:t>
      </w:r>
    </w:p>
    <w:p w14:paraId="3E1240C1" w14:textId="77777777" w:rsidR="00196B46" w:rsidRPr="00196B46" w:rsidRDefault="00196B46" w:rsidP="00196B46">
      <w:pPr>
        <w:pStyle w:val="Bibliography"/>
        <w:rPr>
          <w:rFonts w:cs="Arial"/>
        </w:rPr>
      </w:pPr>
      <w:r w:rsidRPr="00196B46">
        <w:rPr>
          <w:rFonts w:cs="Arial"/>
        </w:rPr>
        <w:t xml:space="preserve">Rousset, F. (1997). Genetic differentiation and estimation of gene flow from F-statistics under isolation by distance. </w:t>
      </w:r>
      <w:r w:rsidRPr="00196B46">
        <w:rPr>
          <w:rFonts w:cs="Arial"/>
          <w:i/>
          <w:iCs/>
        </w:rPr>
        <w:t>Genetics</w:t>
      </w:r>
      <w:r w:rsidRPr="00196B46">
        <w:rPr>
          <w:rFonts w:cs="Arial"/>
        </w:rPr>
        <w:t xml:space="preserve">, </w:t>
      </w:r>
      <w:r w:rsidRPr="00196B46">
        <w:rPr>
          <w:rFonts w:cs="Arial"/>
          <w:i/>
          <w:iCs/>
        </w:rPr>
        <w:t>145</w:t>
      </w:r>
      <w:r w:rsidRPr="00196B46">
        <w:rPr>
          <w:rFonts w:cs="Arial"/>
        </w:rPr>
        <w:t>(4), 1219–1228. https://doi.org/10.1093/genetics/145.4.1219</w:t>
      </w:r>
    </w:p>
    <w:p w14:paraId="5D4B1430" w14:textId="77777777" w:rsidR="00196B46" w:rsidRPr="00196B46" w:rsidRDefault="00196B46" w:rsidP="00196B46">
      <w:pPr>
        <w:pStyle w:val="Bibliography"/>
        <w:rPr>
          <w:rFonts w:cs="Arial"/>
        </w:rPr>
      </w:pPr>
      <w:r w:rsidRPr="00196B46">
        <w:rPr>
          <w:rFonts w:cs="Arial"/>
        </w:rPr>
        <w:t xml:space="preserve">Supple, M. A., &amp; Shapiro, B. (2018). Conservation of biodiversity in the genomics era. </w:t>
      </w:r>
      <w:r w:rsidRPr="00196B46">
        <w:rPr>
          <w:rFonts w:cs="Arial"/>
          <w:i/>
          <w:iCs/>
        </w:rPr>
        <w:t>Genome Biology</w:t>
      </w:r>
      <w:r w:rsidRPr="00196B46">
        <w:rPr>
          <w:rFonts w:cs="Arial"/>
        </w:rPr>
        <w:t xml:space="preserve">, </w:t>
      </w:r>
      <w:r w:rsidRPr="00196B46">
        <w:rPr>
          <w:rFonts w:cs="Arial"/>
          <w:i/>
          <w:iCs/>
        </w:rPr>
        <w:t>19</w:t>
      </w:r>
      <w:r w:rsidRPr="00196B46">
        <w:rPr>
          <w:rFonts w:cs="Arial"/>
        </w:rPr>
        <w:t>(1), 131. https://doi.org/10.1186/s13059-018-1520-3</w:t>
      </w:r>
    </w:p>
    <w:p w14:paraId="24525ABE" w14:textId="77777777" w:rsidR="00196B46" w:rsidRPr="00196B46" w:rsidRDefault="00196B46" w:rsidP="00196B46">
      <w:pPr>
        <w:pStyle w:val="Bibliography"/>
        <w:rPr>
          <w:rFonts w:cs="Arial"/>
        </w:rPr>
      </w:pPr>
      <w:r w:rsidRPr="00196B46">
        <w:rPr>
          <w:rFonts w:cs="Arial"/>
        </w:rPr>
        <w:t xml:space="preserve">Tajima, F. (1989). Statistical method for testing the neutral mutation hypothesis by DNA polymorphism. </w:t>
      </w:r>
      <w:r w:rsidRPr="00196B46">
        <w:rPr>
          <w:rFonts w:cs="Arial"/>
          <w:i/>
          <w:iCs/>
        </w:rPr>
        <w:t>Genetics</w:t>
      </w:r>
      <w:r w:rsidRPr="00196B46">
        <w:rPr>
          <w:rFonts w:cs="Arial"/>
        </w:rPr>
        <w:t xml:space="preserve">, </w:t>
      </w:r>
      <w:r w:rsidRPr="00196B46">
        <w:rPr>
          <w:rFonts w:cs="Arial"/>
          <w:i/>
          <w:iCs/>
        </w:rPr>
        <w:t>123</w:t>
      </w:r>
      <w:r w:rsidRPr="00196B46">
        <w:rPr>
          <w:rFonts w:cs="Arial"/>
        </w:rPr>
        <w:t>(3), 585–595. https://doi.org/10.1093/genetics/123.3.585</w:t>
      </w:r>
    </w:p>
    <w:p w14:paraId="066FF4AF" w14:textId="77777777" w:rsidR="00196B46" w:rsidRPr="00196B46" w:rsidRDefault="00196B46" w:rsidP="00196B46">
      <w:pPr>
        <w:pStyle w:val="Bibliography"/>
        <w:rPr>
          <w:rFonts w:cs="Arial"/>
        </w:rPr>
      </w:pPr>
      <w:r w:rsidRPr="00196B46">
        <w:rPr>
          <w:rFonts w:cs="Arial"/>
        </w:rPr>
        <w:t xml:space="preserve">Weeks, A. R., Sgro, C. M., Young, A. G., Frankham, R., Mitchell, N. J., Miller, K. A., Byrne, M., Coates, D. J., Eldridge, M. D. B., Sunnucks, P., Breed, M. F., James, E. A., &amp; Hoffmann, A. A. (2011). Assessing the benefits and risks of translocations in changing environments: A genetic perspective. </w:t>
      </w:r>
      <w:r w:rsidRPr="00196B46">
        <w:rPr>
          <w:rFonts w:cs="Arial"/>
          <w:i/>
          <w:iCs/>
        </w:rPr>
        <w:t>Evolutionary Applications</w:t>
      </w:r>
      <w:r w:rsidRPr="00196B46">
        <w:rPr>
          <w:rFonts w:cs="Arial"/>
        </w:rPr>
        <w:t xml:space="preserve">, </w:t>
      </w:r>
      <w:r w:rsidRPr="00196B46">
        <w:rPr>
          <w:rFonts w:cs="Arial"/>
          <w:i/>
          <w:iCs/>
        </w:rPr>
        <w:t>4</w:t>
      </w:r>
      <w:r w:rsidRPr="00196B46">
        <w:rPr>
          <w:rFonts w:cs="Arial"/>
        </w:rPr>
        <w:t>(6), 709–725. https://doi.org/10.1111/j.1752-4571.2011.00192.x</w:t>
      </w:r>
    </w:p>
    <w:p w14:paraId="100A7FE5" w14:textId="77777777" w:rsidR="00196B46" w:rsidRPr="00196B46" w:rsidRDefault="00196B46" w:rsidP="00196B46">
      <w:pPr>
        <w:pStyle w:val="Bibliography"/>
        <w:rPr>
          <w:rFonts w:cs="Arial"/>
        </w:rPr>
      </w:pPr>
      <w:r w:rsidRPr="00196B46">
        <w:rPr>
          <w:rFonts w:cs="Arial"/>
        </w:rPr>
        <w:lastRenderedPageBreak/>
        <w:t xml:space="preserve">Weir, B. S., &amp; Cockerham, C. C. (1984). Estimating F-statistics for the analysis of population structure. </w:t>
      </w:r>
      <w:r w:rsidRPr="00196B46">
        <w:rPr>
          <w:rFonts w:cs="Arial"/>
          <w:i/>
          <w:iCs/>
        </w:rPr>
        <w:t>Evolution</w:t>
      </w:r>
      <w:r w:rsidRPr="00196B46">
        <w:rPr>
          <w:rFonts w:cs="Arial"/>
        </w:rPr>
        <w:t xml:space="preserve">, </w:t>
      </w:r>
      <w:r w:rsidRPr="00196B46">
        <w:rPr>
          <w:rFonts w:cs="Arial"/>
          <w:i/>
          <w:iCs/>
        </w:rPr>
        <w:t>38</w:t>
      </w:r>
      <w:r w:rsidRPr="00196B46">
        <w:rPr>
          <w:rFonts w:cs="Arial"/>
        </w:rPr>
        <w:t>(6), 1358–1370. https://doi.org/10.2307/2408641</w:t>
      </w:r>
    </w:p>
    <w:p w14:paraId="7DD92F02" w14:textId="77777777" w:rsidR="00196B46" w:rsidRPr="00196B46" w:rsidRDefault="00196B46" w:rsidP="00196B46">
      <w:pPr>
        <w:pStyle w:val="Bibliography"/>
        <w:rPr>
          <w:rFonts w:cs="Arial"/>
        </w:rPr>
      </w:pPr>
      <w:r w:rsidRPr="00196B46">
        <w:rPr>
          <w:rFonts w:cs="Arial"/>
        </w:rPr>
        <w:t xml:space="preserve">Wickham, H. (2016). </w:t>
      </w:r>
      <w:r w:rsidRPr="00196B46">
        <w:rPr>
          <w:rFonts w:cs="Arial"/>
          <w:i/>
          <w:iCs/>
        </w:rPr>
        <w:t>ggplot2: Elegant Graphics for Data Analysis</w:t>
      </w:r>
      <w:r w:rsidRPr="00196B46">
        <w:rPr>
          <w:rFonts w:cs="Arial"/>
        </w:rPr>
        <w:t>. Springer-Verlag New York. https://ggplot2.tidyverse.org</w:t>
      </w:r>
    </w:p>
    <w:p w14:paraId="0FED501F" w14:textId="77777777" w:rsidR="00196B46" w:rsidRPr="00196B46" w:rsidRDefault="00196B46" w:rsidP="00196B46">
      <w:pPr>
        <w:pStyle w:val="Bibliography"/>
        <w:rPr>
          <w:rFonts w:cs="Arial"/>
        </w:rPr>
      </w:pPr>
      <w:r w:rsidRPr="00196B46">
        <w:rPr>
          <w:rFonts w:cs="Arial"/>
        </w:rPr>
        <w:t xml:space="preserve">Zink, R. M., &amp; Barrowclough, G. F. (2008). Mitochondrial DNA under siege in avian phylogeography. </w:t>
      </w:r>
      <w:r w:rsidRPr="00196B46">
        <w:rPr>
          <w:rFonts w:cs="Arial"/>
          <w:i/>
          <w:iCs/>
        </w:rPr>
        <w:t>Molecular Ecology</w:t>
      </w:r>
      <w:r w:rsidRPr="00196B46">
        <w:rPr>
          <w:rFonts w:cs="Arial"/>
        </w:rPr>
        <w:t xml:space="preserve">, </w:t>
      </w:r>
      <w:r w:rsidRPr="00196B46">
        <w:rPr>
          <w:rFonts w:cs="Arial"/>
          <w:i/>
          <w:iCs/>
        </w:rPr>
        <w:t>17</w:t>
      </w:r>
      <w:r w:rsidRPr="00196B46">
        <w:rPr>
          <w:rFonts w:cs="Arial"/>
        </w:rPr>
        <w:t>(9), 2107–2121. https://doi.org/10.1111/j.1365-294X.2008.03737.x</w:t>
      </w:r>
    </w:p>
    <w:p w14:paraId="17728609" w14:textId="1A05F078" w:rsidR="00583F22" w:rsidRPr="00583F22" w:rsidRDefault="00196B46" w:rsidP="00196B46">
      <w:pPr>
        <w:pStyle w:val="Bibliography"/>
      </w:pPr>
      <w:r w:rsidRPr="00196B46">
        <w:rPr>
          <w:rFonts w:cs="Arial"/>
        </w:rPr>
        <w:fldChar w:fldCharType="end"/>
      </w:r>
      <w:r>
        <w:fldChar w:fldCharType="end"/>
      </w:r>
    </w:p>
    <w:sectPr w:rsidR="00583F22" w:rsidRPr="00583F22" w:rsidSect="00A12294">
      <w:head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7A46A" w14:textId="77777777" w:rsidR="00793F4A" w:rsidRDefault="00793F4A" w:rsidP="00A12294">
      <w:pPr>
        <w:spacing w:before="0" w:after="0" w:line="240" w:lineRule="auto"/>
      </w:pPr>
      <w:r>
        <w:separator/>
      </w:r>
    </w:p>
  </w:endnote>
  <w:endnote w:type="continuationSeparator" w:id="0">
    <w:p w14:paraId="20C634DB" w14:textId="77777777" w:rsidR="00793F4A" w:rsidRDefault="00793F4A" w:rsidP="00A1229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66E9F" w14:textId="77777777" w:rsidR="00793F4A" w:rsidRDefault="00793F4A" w:rsidP="00A12294">
      <w:pPr>
        <w:spacing w:before="0" w:after="0" w:line="240" w:lineRule="auto"/>
      </w:pPr>
      <w:r>
        <w:separator/>
      </w:r>
    </w:p>
  </w:footnote>
  <w:footnote w:type="continuationSeparator" w:id="0">
    <w:p w14:paraId="05D96B4F" w14:textId="77777777" w:rsidR="00793F4A" w:rsidRDefault="00793F4A" w:rsidP="00A1229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4999535"/>
      <w:docPartObj>
        <w:docPartGallery w:val="Page Numbers (Top of Page)"/>
        <w:docPartUnique/>
      </w:docPartObj>
    </w:sdtPr>
    <w:sdtEndPr/>
    <w:sdtContent>
      <w:p w14:paraId="72F28C96" w14:textId="3C20DCAE" w:rsidR="00A12294" w:rsidRDefault="00A12294">
        <w:pPr>
          <w:pStyle w:val="Header"/>
        </w:pPr>
        <w:r>
          <w:fldChar w:fldCharType="begin"/>
        </w:r>
        <w:r>
          <w:instrText>PAGE   \* MERGEFORMAT</w:instrText>
        </w:r>
        <w:r>
          <w:fldChar w:fldCharType="separate"/>
        </w:r>
        <w:r>
          <w:t>2</w:t>
        </w:r>
        <w:r>
          <w:fldChar w:fldCharType="end"/>
        </w:r>
      </w:p>
    </w:sdtContent>
  </w:sdt>
  <w:p w14:paraId="503375E9" w14:textId="77777777" w:rsidR="00A12294" w:rsidRDefault="00A122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DFC612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06969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504918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17E261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56C7FB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FAC73D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D883E7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500A3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DA857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D7AD30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A2C3D0D"/>
    <w:multiLevelType w:val="multilevel"/>
    <w:tmpl w:val="A7B8C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FA2CE7"/>
    <w:multiLevelType w:val="multilevel"/>
    <w:tmpl w:val="02BAF1F4"/>
    <w:lvl w:ilvl="0">
      <w:start w:val="1"/>
      <w:numFmt w:val="decimal"/>
      <w:pStyle w:val="Numberedheading"/>
      <w:suff w:val="space"/>
      <w:lvlText w:val="%1."/>
      <w:lvlJc w:val="left"/>
      <w:pPr>
        <w:ind w:left="0" w:firstLine="0"/>
      </w:pPr>
      <w:rPr>
        <w:rFonts w:hint="default"/>
      </w:rPr>
    </w:lvl>
    <w:lvl w:ilvl="1">
      <w:start w:val="1"/>
      <w:numFmt w:val="decimal"/>
      <w:pStyle w:val="Numberedsecondheading"/>
      <w:suff w:val="space"/>
      <w:lvlText w:val="%1.%2."/>
      <w:lvlJc w:val="left"/>
      <w:pPr>
        <w:ind w:left="0" w:firstLine="0"/>
      </w:pPr>
      <w:rPr>
        <w:rFonts w:hint="default"/>
      </w:rPr>
    </w:lvl>
    <w:lvl w:ilvl="2">
      <w:start w:val="1"/>
      <w:numFmt w:val="decimal"/>
      <w:pStyle w:val="Numberedthirdheading"/>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2" w15:restartNumberingAfterBreak="0">
    <w:nsid w:val="1CC7424F"/>
    <w:multiLevelType w:val="multilevel"/>
    <w:tmpl w:val="27B0D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4210C7"/>
    <w:multiLevelType w:val="multilevel"/>
    <w:tmpl w:val="C072769C"/>
    <w:lvl w:ilvl="0">
      <w:start w:val="1"/>
      <w:numFmt w:val="bullet"/>
      <w:lvlText w:val=""/>
      <w:lvlJc w:val="left"/>
      <w:pPr>
        <w:tabs>
          <w:tab w:val="num" w:pos="502"/>
        </w:tabs>
        <w:ind w:left="502" w:hanging="360"/>
      </w:pPr>
      <w:rPr>
        <w:rFonts w:ascii="Symbol" w:hAnsi="Symbol" w:hint="default"/>
        <w:sz w:val="20"/>
      </w:rPr>
    </w:lvl>
    <w:lvl w:ilvl="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4" w15:restartNumberingAfterBreak="0">
    <w:nsid w:val="3139231A"/>
    <w:multiLevelType w:val="multilevel"/>
    <w:tmpl w:val="902C5D4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33DE0419"/>
    <w:multiLevelType w:val="hybridMultilevel"/>
    <w:tmpl w:val="F1061364"/>
    <w:lvl w:ilvl="0" w:tplc="B1E08A3E">
      <w:start w:val="1"/>
      <w:numFmt w:val="decimal"/>
      <w:pStyle w:val="Numberedbulletpurple"/>
      <w:lvlText w:val="%1."/>
      <w:lvlJc w:val="left"/>
      <w:pPr>
        <w:ind w:left="360" w:hanging="360"/>
      </w:pPr>
      <w:rPr>
        <w:rFonts w:ascii="Arial" w:hAnsi="Arial" w:hint="default"/>
        <w:b w:val="0"/>
        <w:i w:val="0"/>
        <w:color w:val="455A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52F00CD"/>
    <w:multiLevelType w:val="multilevel"/>
    <w:tmpl w:val="EF7895CA"/>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7" w15:restartNumberingAfterBreak="0">
    <w:nsid w:val="41971096"/>
    <w:multiLevelType w:val="multilevel"/>
    <w:tmpl w:val="1862E3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B96AA0"/>
    <w:multiLevelType w:val="multilevel"/>
    <w:tmpl w:val="95AA39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3F1E0A"/>
    <w:multiLevelType w:val="multilevel"/>
    <w:tmpl w:val="26FAB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D20114"/>
    <w:multiLevelType w:val="multilevel"/>
    <w:tmpl w:val="07B4D86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4D992216"/>
    <w:multiLevelType w:val="multilevel"/>
    <w:tmpl w:val="C0BC5CA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53802930"/>
    <w:multiLevelType w:val="hybridMultilevel"/>
    <w:tmpl w:val="94003C7C"/>
    <w:lvl w:ilvl="0" w:tplc="B23C3200">
      <w:start w:val="1"/>
      <w:numFmt w:val="decimal"/>
      <w:pStyle w:val="Numberedbullet"/>
      <w:lvlText w:val="%1."/>
      <w:lvlJc w:val="left"/>
      <w:pPr>
        <w:ind w:left="360" w:hanging="360"/>
      </w:pPr>
      <w:rPr>
        <w:rFonts w:ascii="Arial" w:hAnsi="Arial"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DFD76FF"/>
    <w:multiLevelType w:val="multilevel"/>
    <w:tmpl w:val="B3F09E22"/>
    <w:lvl w:ilvl="0">
      <w:start w:val="1"/>
      <w:numFmt w:val="bullet"/>
      <w:lvlText w:val=""/>
      <w:lvlJc w:val="left"/>
      <w:pPr>
        <w:tabs>
          <w:tab w:val="num" w:pos="502"/>
        </w:tabs>
        <w:ind w:left="502" w:hanging="360"/>
      </w:pPr>
      <w:rPr>
        <w:rFonts w:ascii="Symbol" w:hAnsi="Symbol" w:hint="default"/>
        <w:sz w:val="20"/>
      </w:rPr>
    </w:lvl>
    <w:lvl w:ilvl="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24" w15:restartNumberingAfterBreak="0">
    <w:nsid w:val="614C6DA5"/>
    <w:multiLevelType w:val="hybridMultilevel"/>
    <w:tmpl w:val="628ADA08"/>
    <w:lvl w:ilvl="0" w:tplc="113A6188">
      <w:start w:val="1"/>
      <w:numFmt w:val="bullet"/>
      <w:pStyle w:val="Roundbullet"/>
      <w:lvlText w:val="•"/>
      <w:lvlJc w:val="left"/>
      <w:pPr>
        <w:ind w:left="36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5E53E3"/>
    <w:multiLevelType w:val="multilevel"/>
    <w:tmpl w:val="F4203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007750"/>
    <w:multiLevelType w:val="multilevel"/>
    <w:tmpl w:val="FCD4F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2753455"/>
    <w:multiLevelType w:val="multilevel"/>
    <w:tmpl w:val="DE74B8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8966C9"/>
    <w:multiLevelType w:val="hybridMultilevel"/>
    <w:tmpl w:val="2604E1F6"/>
    <w:lvl w:ilvl="0" w:tplc="291A34A2">
      <w:start w:val="1"/>
      <w:numFmt w:val="bullet"/>
      <w:pStyle w:val="Dashedbullet"/>
      <w:lvlText w:val="–"/>
      <w:lvlJc w:val="left"/>
      <w:pPr>
        <w:ind w:left="720" w:hanging="360"/>
      </w:pPr>
      <w:rPr>
        <w:rFonts w:ascii="Arial" w:hAnsi="Arial" w:hint="default"/>
        <w:b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715405C"/>
    <w:multiLevelType w:val="hybridMultilevel"/>
    <w:tmpl w:val="6574A722"/>
    <w:lvl w:ilvl="0" w:tplc="B6FC7AB2">
      <w:start w:val="1"/>
      <w:numFmt w:val="bullet"/>
      <w:pStyle w:val="Dashedbulletgreen"/>
      <w:lvlText w:val="–"/>
      <w:lvlJc w:val="left"/>
      <w:pPr>
        <w:ind w:left="360" w:hanging="360"/>
      </w:pPr>
      <w:rPr>
        <w:rFonts w:ascii="Arial" w:hAnsi="Arial" w:hint="default"/>
        <w:b w:val="0"/>
        <w:i w:val="0"/>
        <w:color w:val="455A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90152F"/>
    <w:multiLevelType w:val="multilevel"/>
    <w:tmpl w:val="E68899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E96901"/>
    <w:multiLevelType w:val="multilevel"/>
    <w:tmpl w:val="3C8E86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7C7B20"/>
    <w:multiLevelType w:val="multilevel"/>
    <w:tmpl w:val="99D61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5022982">
    <w:abstractNumId w:val="28"/>
  </w:num>
  <w:num w:numId="2" w16cid:durableId="583729672">
    <w:abstractNumId w:val="29"/>
  </w:num>
  <w:num w:numId="3" w16cid:durableId="885874596">
    <w:abstractNumId w:val="9"/>
  </w:num>
  <w:num w:numId="4" w16cid:durableId="1036933102">
    <w:abstractNumId w:val="7"/>
  </w:num>
  <w:num w:numId="5" w16cid:durableId="654139421">
    <w:abstractNumId w:val="6"/>
  </w:num>
  <w:num w:numId="6" w16cid:durableId="1518809545">
    <w:abstractNumId w:val="5"/>
  </w:num>
  <w:num w:numId="7" w16cid:durableId="723333143">
    <w:abstractNumId w:val="4"/>
  </w:num>
  <w:num w:numId="8" w16cid:durableId="1701971253">
    <w:abstractNumId w:val="8"/>
  </w:num>
  <w:num w:numId="9" w16cid:durableId="1305500105">
    <w:abstractNumId w:val="3"/>
  </w:num>
  <w:num w:numId="10" w16cid:durableId="112552821">
    <w:abstractNumId w:val="2"/>
  </w:num>
  <w:num w:numId="11" w16cid:durableId="311108851">
    <w:abstractNumId w:val="1"/>
  </w:num>
  <w:num w:numId="12" w16cid:durableId="2069717172">
    <w:abstractNumId w:val="0"/>
  </w:num>
  <w:num w:numId="13" w16cid:durableId="687876622">
    <w:abstractNumId w:val="22"/>
  </w:num>
  <w:num w:numId="14" w16cid:durableId="128017949">
    <w:abstractNumId w:val="15"/>
  </w:num>
  <w:num w:numId="15" w16cid:durableId="1767578223">
    <w:abstractNumId w:val="11"/>
  </w:num>
  <w:num w:numId="16" w16cid:durableId="966424423">
    <w:abstractNumId w:val="24"/>
  </w:num>
  <w:num w:numId="17" w16cid:durableId="991442105">
    <w:abstractNumId w:val="30"/>
  </w:num>
  <w:num w:numId="18" w16cid:durableId="1173690618">
    <w:abstractNumId w:val="19"/>
  </w:num>
  <w:num w:numId="19" w16cid:durableId="582184326">
    <w:abstractNumId w:val="26"/>
  </w:num>
  <w:num w:numId="20" w16cid:durableId="142552130">
    <w:abstractNumId w:val="32"/>
  </w:num>
  <w:num w:numId="21" w16cid:durableId="906649130">
    <w:abstractNumId w:val="12"/>
  </w:num>
  <w:num w:numId="22" w16cid:durableId="1465075572">
    <w:abstractNumId w:val="18"/>
  </w:num>
  <w:num w:numId="23" w16cid:durableId="849489356">
    <w:abstractNumId w:val="31"/>
  </w:num>
  <w:num w:numId="24" w16cid:durableId="1967735831">
    <w:abstractNumId w:val="10"/>
  </w:num>
  <w:num w:numId="25" w16cid:durableId="1765105027">
    <w:abstractNumId w:val="25"/>
  </w:num>
  <w:num w:numId="26" w16cid:durableId="1534803411">
    <w:abstractNumId w:val="17"/>
  </w:num>
  <w:num w:numId="27" w16cid:durableId="1833831399">
    <w:abstractNumId w:val="14"/>
  </w:num>
  <w:num w:numId="28" w16cid:durableId="102264795">
    <w:abstractNumId w:val="21"/>
  </w:num>
  <w:num w:numId="29" w16cid:durableId="363020537">
    <w:abstractNumId w:val="27"/>
  </w:num>
  <w:num w:numId="30" w16cid:durableId="711616621">
    <w:abstractNumId w:val="20"/>
  </w:num>
  <w:num w:numId="31" w16cid:durableId="2114470567">
    <w:abstractNumId w:val="23"/>
  </w:num>
  <w:num w:numId="32" w16cid:durableId="48310471">
    <w:abstractNumId w:val="16"/>
  </w:num>
  <w:num w:numId="33" w16cid:durableId="1569342844">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FF6"/>
    <w:rsid w:val="0004139F"/>
    <w:rsid w:val="000474E7"/>
    <w:rsid w:val="00051B6C"/>
    <w:rsid w:val="00053E42"/>
    <w:rsid w:val="00065F88"/>
    <w:rsid w:val="00066060"/>
    <w:rsid w:val="00077285"/>
    <w:rsid w:val="00082D3F"/>
    <w:rsid w:val="000A4023"/>
    <w:rsid w:val="000A5154"/>
    <w:rsid w:val="000A6CEC"/>
    <w:rsid w:val="000B496E"/>
    <w:rsid w:val="000D5FBE"/>
    <w:rsid w:val="000F0862"/>
    <w:rsid w:val="00101070"/>
    <w:rsid w:val="001179A2"/>
    <w:rsid w:val="00134225"/>
    <w:rsid w:val="00136165"/>
    <w:rsid w:val="00140E5E"/>
    <w:rsid w:val="00171C5D"/>
    <w:rsid w:val="00173E94"/>
    <w:rsid w:val="00191A5C"/>
    <w:rsid w:val="00196B46"/>
    <w:rsid w:val="001A4282"/>
    <w:rsid w:val="001C7A8F"/>
    <w:rsid w:val="001D5DCE"/>
    <w:rsid w:val="001F00D6"/>
    <w:rsid w:val="001F08F1"/>
    <w:rsid w:val="001F5F0E"/>
    <w:rsid w:val="0020538D"/>
    <w:rsid w:val="002073F8"/>
    <w:rsid w:val="00220639"/>
    <w:rsid w:val="00232597"/>
    <w:rsid w:val="0026323B"/>
    <w:rsid w:val="002729ED"/>
    <w:rsid w:val="00274673"/>
    <w:rsid w:val="0028289E"/>
    <w:rsid w:val="002A2E77"/>
    <w:rsid w:val="002B0E86"/>
    <w:rsid w:val="002B5FA9"/>
    <w:rsid w:val="002E470D"/>
    <w:rsid w:val="002F0221"/>
    <w:rsid w:val="002F44D1"/>
    <w:rsid w:val="00340C8B"/>
    <w:rsid w:val="003448CC"/>
    <w:rsid w:val="00356CE1"/>
    <w:rsid w:val="00356E08"/>
    <w:rsid w:val="003620D0"/>
    <w:rsid w:val="0038559D"/>
    <w:rsid w:val="003A70F3"/>
    <w:rsid w:val="003C2236"/>
    <w:rsid w:val="003C2F69"/>
    <w:rsid w:val="003C6F0B"/>
    <w:rsid w:val="003D76F7"/>
    <w:rsid w:val="003E01D0"/>
    <w:rsid w:val="003E0471"/>
    <w:rsid w:val="003E5A77"/>
    <w:rsid w:val="003F4ED4"/>
    <w:rsid w:val="004004A3"/>
    <w:rsid w:val="004010FC"/>
    <w:rsid w:val="00401D89"/>
    <w:rsid w:val="00402074"/>
    <w:rsid w:val="00411F76"/>
    <w:rsid w:val="00433749"/>
    <w:rsid w:val="00435EB5"/>
    <w:rsid w:val="00437D86"/>
    <w:rsid w:val="00446096"/>
    <w:rsid w:val="00450ADB"/>
    <w:rsid w:val="00473762"/>
    <w:rsid w:val="00474DFC"/>
    <w:rsid w:val="00484548"/>
    <w:rsid w:val="0048460A"/>
    <w:rsid w:val="00486085"/>
    <w:rsid w:val="00493503"/>
    <w:rsid w:val="004D4581"/>
    <w:rsid w:val="004E7C33"/>
    <w:rsid w:val="004F5ACE"/>
    <w:rsid w:val="005002D6"/>
    <w:rsid w:val="005048D6"/>
    <w:rsid w:val="0050699C"/>
    <w:rsid w:val="00515977"/>
    <w:rsid w:val="00536A94"/>
    <w:rsid w:val="00547CB3"/>
    <w:rsid w:val="0055548A"/>
    <w:rsid w:val="00557F5D"/>
    <w:rsid w:val="0057442F"/>
    <w:rsid w:val="00583F22"/>
    <w:rsid w:val="00584E53"/>
    <w:rsid w:val="005A074D"/>
    <w:rsid w:val="005B0EC9"/>
    <w:rsid w:val="005B59FB"/>
    <w:rsid w:val="005B6528"/>
    <w:rsid w:val="005C3334"/>
    <w:rsid w:val="005D36DE"/>
    <w:rsid w:val="005D5AC9"/>
    <w:rsid w:val="005E51FB"/>
    <w:rsid w:val="0060094F"/>
    <w:rsid w:val="006238AF"/>
    <w:rsid w:val="006264BD"/>
    <w:rsid w:val="006274E9"/>
    <w:rsid w:val="006461B3"/>
    <w:rsid w:val="00646687"/>
    <w:rsid w:val="006731AF"/>
    <w:rsid w:val="0068137B"/>
    <w:rsid w:val="00681EA2"/>
    <w:rsid w:val="0069527F"/>
    <w:rsid w:val="006A09F1"/>
    <w:rsid w:val="006C1BC4"/>
    <w:rsid w:val="006D03BD"/>
    <w:rsid w:val="006D4710"/>
    <w:rsid w:val="006D7ADD"/>
    <w:rsid w:val="006F7C8E"/>
    <w:rsid w:val="00735FA2"/>
    <w:rsid w:val="007545BA"/>
    <w:rsid w:val="007619EF"/>
    <w:rsid w:val="00775133"/>
    <w:rsid w:val="00775C2B"/>
    <w:rsid w:val="00793C82"/>
    <w:rsid w:val="00793F4A"/>
    <w:rsid w:val="007B3476"/>
    <w:rsid w:val="007C76EE"/>
    <w:rsid w:val="007D1C65"/>
    <w:rsid w:val="007D49DA"/>
    <w:rsid w:val="007F4309"/>
    <w:rsid w:val="00825967"/>
    <w:rsid w:val="0084510E"/>
    <w:rsid w:val="0085792B"/>
    <w:rsid w:val="00865149"/>
    <w:rsid w:val="008746F5"/>
    <w:rsid w:val="008932D7"/>
    <w:rsid w:val="008A26D6"/>
    <w:rsid w:val="008A5C5C"/>
    <w:rsid w:val="008B0DE3"/>
    <w:rsid w:val="008C5784"/>
    <w:rsid w:val="008E36B2"/>
    <w:rsid w:val="00903EAD"/>
    <w:rsid w:val="00930DEE"/>
    <w:rsid w:val="00961E49"/>
    <w:rsid w:val="00987E66"/>
    <w:rsid w:val="00997FB7"/>
    <w:rsid w:val="009A0199"/>
    <w:rsid w:val="009A03B6"/>
    <w:rsid w:val="009A364A"/>
    <w:rsid w:val="009A6C64"/>
    <w:rsid w:val="009B08D4"/>
    <w:rsid w:val="009B0AE1"/>
    <w:rsid w:val="009E0EB4"/>
    <w:rsid w:val="00A04162"/>
    <w:rsid w:val="00A070B1"/>
    <w:rsid w:val="00A12294"/>
    <w:rsid w:val="00A16EF1"/>
    <w:rsid w:val="00A20F82"/>
    <w:rsid w:val="00A250D8"/>
    <w:rsid w:val="00A31AFB"/>
    <w:rsid w:val="00A34790"/>
    <w:rsid w:val="00A54C85"/>
    <w:rsid w:val="00A555AE"/>
    <w:rsid w:val="00A72254"/>
    <w:rsid w:val="00A73893"/>
    <w:rsid w:val="00AB5C4D"/>
    <w:rsid w:val="00AC039E"/>
    <w:rsid w:val="00AE532B"/>
    <w:rsid w:val="00AF1319"/>
    <w:rsid w:val="00B00637"/>
    <w:rsid w:val="00B235A7"/>
    <w:rsid w:val="00B30593"/>
    <w:rsid w:val="00B416CF"/>
    <w:rsid w:val="00B43F0E"/>
    <w:rsid w:val="00B53B26"/>
    <w:rsid w:val="00B66FC7"/>
    <w:rsid w:val="00BC20D5"/>
    <w:rsid w:val="00BC4D46"/>
    <w:rsid w:val="00BE035B"/>
    <w:rsid w:val="00C01BC9"/>
    <w:rsid w:val="00C064E0"/>
    <w:rsid w:val="00C21BF9"/>
    <w:rsid w:val="00C6642B"/>
    <w:rsid w:val="00C81122"/>
    <w:rsid w:val="00C964E3"/>
    <w:rsid w:val="00C97D22"/>
    <w:rsid w:val="00CA40CA"/>
    <w:rsid w:val="00CA6E19"/>
    <w:rsid w:val="00CC55DA"/>
    <w:rsid w:val="00CC7AC0"/>
    <w:rsid w:val="00CD12EB"/>
    <w:rsid w:val="00CF2621"/>
    <w:rsid w:val="00CF506B"/>
    <w:rsid w:val="00D0533A"/>
    <w:rsid w:val="00D073DF"/>
    <w:rsid w:val="00D349EF"/>
    <w:rsid w:val="00D42FF0"/>
    <w:rsid w:val="00D43F39"/>
    <w:rsid w:val="00D54196"/>
    <w:rsid w:val="00D67334"/>
    <w:rsid w:val="00D81350"/>
    <w:rsid w:val="00D81623"/>
    <w:rsid w:val="00D94AF1"/>
    <w:rsid w:val="00DA1414"/>
    <w:rsid w:val="00DA37C6"/>
    <w:rsid w:val="00DB6AE9"/>
    <w:rsid w:val="00DC7CDF"/>
    <w:rsid w:val="00DD160E"/>
    <w:rsid w:val="00DD283C"/>
    <w:rsid w:val="00DD521E"/>
    <w:rsid w:val="00DD7FD7"/>
    <w:rsid w:val="00DE048C"/>
    <w:rsid w:val="00DE1598"/>
    <w:rsid w:val="00DE3DCF"/>
    <w:rsid w:val="00DE647A"/>
    <w:rsid w:val="00E12F39"/>
    <w:rsid w:val="00E1332B"/>
    <w:rsid w:val="00E16F1E"/>
    <w:rsid w:val="00E25AF6"/>
    <w:rsid w:val="00E31D58"/>
    <w:rsid w:val="00E46465"/>
    <w:rsid w:val="00E66FF3"/>
    <w:rsid w:val="00E9627D"/>
    <w:rsid w:val="00E972CC"/>
    <w:rsid w:val="00EB18FF"/>
    <w:rsid w:val="00EE5066"/>
    <w:rsid w:val="00EF742A"/>
    <w:rsid w:val="00F1378E"/>
    <w:rsid w:val="00F24981"/>
    <w:rsid w:val="00F26834"/>
    <w:rsid w:val="00F40FF6"/>
    <w:rsid w:val="00F530BD"/>
    <w:rsid w:val="00F815F1"/>
    <w:rsid w:val="00F90F48"/>
    <w:rsid w:val="00FB09A9"/>
    <w:rsid w:val="00FB1721"/>
    <w:rsid w:val="00FB28C4"/>
    <w:rsid w:val="00FB7570"/>
    <w:rsid w:val="00FC0B8E"/>
    <w:rsid w:val="00FD3734"/>
    <w:rsid w:val="00FD7E92"/>
    <w:rsid w:val="00FE32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BB497"/>
  <w15:chartTrackingRefBased/>
  <w15:docId w15:val="{2B386F56-DBFC-4F8C-AC51-48B13A7A7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F0E"/>
    <w:pPr>
      <w:spacing w:before="240" w:after="120" w:line="276" w:lineRule="auto"/>
    </w:pPr>
    <w:rPr>
      <w:rFonts w:ascii="Arial" w:eastAsia="Arial" w:hAnsi="Arial" w:cs="Times New Roman"/>
      <w:kern w:val="0"/>
      <w:szCs w:val="22"/>
      <w14:ligatures w14:val="none"/>
    </w:rPr>
  </w:style>
  <w:style w:type="paragraph" w:styleId="Heading1">
    <w:name w:val="heading 1"/>
    <w:basedOn w:val="Normal"/>
    <w:next w:val="Normal"/>
    <w:link w:val="Heading1Char"/>
    <w:qFormat/>
    <w:rsid w:val="00B43F0E"/>
    <w:pPr>
      <w:keepNext/>
      <w:keepLines/>
      <w:spacing w:before="480"/>
      <w:outlineLvl w:val="0"/>
    </w:pPr>
    <w:rPr>
      <w:rFonts w:eastAsia="Times New Roman"/>
      <w:b/>
      <w:bCs/>
      <w:color w:val="78004F"/>
      <w:sz w:val="44"/>
      <w:szCs w:val="28"/>
    </w:rPr>
  </w:style>
  <w:style w:type="paragraph" w:styleId="Heading2">
    <w:name w:val="heading 2"/>
    <w:next w:val="Normal"/>
    <w:link w:val="Heading2Char"/>
    <w:autoRedefine/>
    <w:qFormat/>
    <w:rsid w:val="00B43F0E"/>
    <w:pPr>
      <w:keepNext/>
      <w:spacing w:before="480" w:after="120" w:line="240" w:lineRule="auto"/>
      <w:outlineLvl w:val="1"/>
    </w:pPr>
    <w:rPr>
      <w:rFonts w:ascii="Arial" w:eastAsia="Times New Roman" w:hAnsi="Arial" w:cs="Times New Roman"/>
      <w:b/>
      <w:bCs/>
      <w:iCs/>
      <w:kern w:val="0"/>
      <w:sz w:val="36"/>
      <w:szCs w:val="28"/>
      <w14:ligatures w14:val="none"/>
    </w:rPr>
  </w:style>
  <w:style w:type="paragraph" w:styleId="Heading3">
    <w:name w:val="heading 3"/>
    <w:basedOn w:val="Normal"/>
    <w:next w:val="Normal"/>
    <w:link w:val="Heading3Char"/>
    <w:autoRedefine/>
    <w:qFormat/>
    <w:rsid w:val="00FD3734"/>
    <w:pPr>
      <w:keepNext/>
      <w:keepLines/>
      <w:spacing w:before="360" w:after="0"/>
      <w:outlineLvl w:val="2"/>
    </w:pPr>
    <w:rPr>
      <w:rFonts w:eastAsia="Times New Roman"/>
      <w:b/>
      <w:bCs/>
      <w:color w:val="78004F"/>
      <w:sz w:val="28"/>
      <w:szCs w:val="24"/>
    </w:rPr>
  </w:style>
  <w:style w:type="paragraph" w:styleId="Heading4">
    <w:name w:val="heading 4"/>
    <w:basedOn w:val="Normal"/>
    <w:next w:val="Normal"/>
    <w:link w:val="Heading4Char"/>
    <w:qFormat/>
    <w:rsid w:val="00B43F0E"/>
    <w:pPr>
      <w:keepNext/>
      <w:keepLines/>
      <w:spacing w:before="200"/>
      <w:outlineLvl w:val="3"/>
    </w:pPr>
    <w:rPr>
      <w:rFonts w:eastAsia="Times New Roman"/>
      <w:b/>
      <w:bCs/>
      <w:iCs/>
    </w:rPr>
  </w:style>
  <w:style w:type="paragraph" w:styleId="Heading5">
    <w:name w:val="heading 5"/>
    <w:basedOn w:val="Normal"/>
    <w:next w:val="Normal"/>
    <w:link w:val="Heading5Char"/>
    <w:qFormat/>
    <w:rsid w:val="00B43F0E"/>
    <w:pPr>
      <w:keepNext/>
      <w:keepLines/>
      <w:spacing w:before="200"/>
      <w:outlineLvl w:val="4"/>
    </w:pPr>
    <w:rPr>
      <w:rFonts w:eastAsia="Times New Roman"/>
      <w:color w:val="78004F"/>
    </w:rPr>
  </w:style>
  <w:style w:type="paragraph" w:styleId="Heading6">
    <w:name w:val="heading 6"/>
    <w:basedOn w:val="Normal"/>
    <w:next w:val="Normal"/>
    <w:link w:val="Heading6Char"/>
    <w:uiPriority w:val="9"/>
    <w:unhideWhenUsed/>
    <w:rsid w:val="00B43F0E"/>
    <w:pPr>
      <w:keepNext/>
      <w:keepLines/>
      <w:spacing w:before="40" w:after="0"/>
      <w:outlineLvl w:val="5"/>
    </w:pPr>
    <w:rPr>
      <w:rFonts w:asciiTheme="majorHAnsi" w:eastAsiaTheme="majorEastAsia" w:hAnsiTheme="majorHAnsi" w:cstheme="majorBidi"/>
      <w:i/>
      <w:color w:val="000000" w:themeColor="text1"/>
    </w:rPr>
  </w:style>
  <w:style w:type="paragraph" w:styleId="Heading7">
    <w:name w:val="heading 7"/>
    <w:basedOn w:val="Normal"/>
    <w:next w:val="Normal"/>
    <w:link w:val="Heading7Char"/>
    <w:uiPriority w:val="9"/>
    <w:semiHidden/>
    <w:unhideWhenUsed/>
    <w:rsid w:val="00B43F0E"/>
    <w:pPr>
      <w:keepNext/>
      <w:keepLines/>
      <w:spacing w:before="40" w:after="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B43F0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43F0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43F0E"/>
    <w:rPr>
      <w:rFonts w:ascii="Arial" w:eastAsia="Times New Roman" w:hAnsi="Arial" w:cs="Times New Roman"/>
      <w:b/>
      <w:bCs/>
      <w:color w:val="78004F"/>
      <w:kern w:val="0"/>
      <w:sz w:val="44"/>
      <w:szCs w:val="28"/>
      <w14:ligatures w14:val="none"/>
    </w:rPr>
  </w:style>
  <w:style w:type="character" w:customStyle="1" w:styleId="Heading2Char">
    <w:name w:val="Heading 2 Char"/>
    <w:basedOn w:val="DefaultParagraphFont"/>
    <w:link w:val="Heading2"/>
    <w:rsid w:val="00B43F0E"/>
    <w:rPr>
      <w:rFonts w:ascii="Arial" w:eastAsia="Times New Roman" w:hAnsi="Arial" w:cs="Times New Roman"/>
      <w:b/>
      <w:bCs/>
      <w:iCs/>
      <w:kern w:val="0"/>
      <w:sz w:val="36"/>
      <w:szCs w:val="28"/>
      <w14:ligatures w14:val="none"/>
    </w:rPr>
  </w:style>
  <w:style w:type="character" w:customStyle="1" w:styleId="Heading3Char">
    <w:name w:val="Heading 3 Char"/>
    <w:basedOn w:val="DefaultParagraphFont"/>
    <w:link w:val="Heading3"/>
    <w:rsid w:val="00FD3734"/>
    <w:rPr>
      <w:rFonts w:ascii="Arial" w:eastAsia="Times New Roman" w:hAnsi="Arial" w:cs="Times New Roman"/>
      <w:b/>
      <w:bCs/>
      <w:color w:val="78004F"/>
      <w:kern w:val="0"/>
      <w:sz w:val="28"/>
      <w14:ligatures w14:val="none"/>
    </w:rPr>
  </w:style>
  <w:style w:type="character" w:customStyle="1" w:styleId="Heading4Char">
    <w:name w:val="Heading 4 Char"/>
    <w:basedOn w:val="DefaultParagraphFont"/>
    <w:link w:val="Heading4"/>
    <w:rsid w:val="00B43F0E"/>
    <w:rPr>
      <w:rFonts w:ascii="Arial" w:eastAsia="Times New Roman" w:hAnsi="Arial" w:cs="Times New Roman"/>
      <w:b/>
      <w:bCs/>
      <w:iCs/>
      <w:kern w:val="0"/>
      <w:szCs w:val="22"/>
      <w14:ligatures w14:val="none"/>
    </w:rPr>
  </w:style>
  <w:style w:type="character" w:customStyle="1" w:styleId="Heading5Char">
    <w:name w:val="Heading 5 Char"/>
    <w:basedOn w:val="DefaultParagraphFont"/>
    <w:link w:val="Heading5"/>
    <w:rsid w:val="00B43F0E"/>
    <w:rPr>
      <w:rFonts w:ascii="Arial" w:eastAsia="Times New Roman" w:hAnsi="Arial" w:cs="Times New Roman"/>
      <w:color w:val="78004F"/>
      <w:kern w:val="0"/>
      <w:szCs w:val="22"/>
      <w14:ligatures w14:val="none"/>
    </w:rPr>
  </w:style>
  <w:style w:type="character" w:customStyle="1" w:styleId="Heading6Char">
    <w:name w:val="Heading 6 Char"/>
    <w:basedOn w:val="DefaultParagraphFont"/>
    <w:link w:val="Heading6"/>
    <w:uiPriority w:val="9"/>
    <w:rsid w:val="00B43F0E"/>
    <w:rPr>
      <w:rFonts w:asciiTheme="majorHAnsi" w:eastAsiaTheme="majorEastAsia" w:hAnsiTheme="majorHAnsi" w:cstheme="majorBidi"/>
      <w:i/>
      <w:color w:val="000000" w:themeColor="text1"/>
      <w:kern w:val="0"/>
      <w:szCs w:val="22"/>
      <w14:ligatures w14:val="none"/>
    </w:rPr>
  </w:style>
  <w:style w:type="character" w:customStyle="1" w:styleId="Heading7Char">
    <w:name w:val="Heading 7 Char"/>
    <w:basedOn w:val="DefaultParagraphFont"/>
    <w:link w:val="Heading7"/>
    <w:uiPriority w:val="9"/>
    <w:semiHidden/>
    <w:rsid w:val="00B43F0E"/>
    <w:rPr>
      <w:rFonts w:asciiTheme="majorHAnsi" w:eastAsiaTheme="majorEastAsia" w:hAnsiTheme="majorHAnsi" w:cstheme="majorBidi"/>
      <w:i/>
      <w:iCs/>
      <w:color w:val="0A2F40" w:themeColor="accent1" w:themeShade="7F"/>
      <w:kern w:val="0"/>
      <w:szCs w:val="22"/>
      <w14:ligatures w14:val="none"/>
    </w:rPr>
  </w:style>
  <w:style w:type="character" w:customStyle="1" w:styleId="Heading8Char">
    <w:name w:val="Heading 8 Char"/>
    <w:basedOn w:val="DefaultParagraphFont"/>
    <w:link w:val="Heading8"/>
    <w:uiPriority w:val="9"/>
    <w:semiHidden/>
    <w:rsid w:val="00B43F0E"/>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semiHidden/>
    <w:rsid w:val="00B43F0E"/>
    <w:rPr>
      <w:rFonts w:asciiTheme="majorHAnsi" w:eastAsiaTheme="majorEastAsia" w:hAnsiTheme="majorHAnsi" w:cstheme="majorBidi"/>
      <w:i/>
      <w:iCs/>
      <w:color w:val="272727" w:themeColor="text1" w:themeTint="D8"/>
      <w:kern w:val="0"/>
      <w:sz w:val="21"/>
      <w:szCs w:val="21"/>
      <w14:ligatures w14:val="none"/>
    </w:rPr>
  </w:style>
  <w:style w:type="paragraph" w:styleId="Title">
    <w:name w:val="Title"/>
    <w:basedOn w:val="Normal"/>
    <w:next w:val="Normal"/>
    <w:link w:val="TitleChar"/>
    <w:uiPriority w:val="10"/>
    <w:rsid w:val="00B43F0E"/>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3F0E"/>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rsid w:val="00B43F0E"/>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uiPriority w:val="11"/>
    <w:rsid w:val="00B43F0E"/>
    <w:rPr>
      <w:rFonts w:eastAsiaTheme="minorEastAsia"/>
      <w:color w:val="5A5A5A" w:themeColor="text1" w:themeTint="A5"/>
      <w:spacing w:val="15"/>
      <w:kern w:val="0"/>
      <w:sz w:val="22"/>
      <w:szCs w:val="22"/>
      <w14:ligatures w14:val="none"/>
    </w:rPr>
  </w:style>
  <w:style w:type="paragraph" w:styleId="Quote">
    <w:name w:val="Quote"/>
    <w:basedOn w:val="Normal"/>
    <w:next w:val="Normal"/>
    <w:link w:val="QuoteChar"/>
    <w:uiPriority w:val="29"/>
    <w:rsid w:val="00B43F0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43F0E"/>
    <w:rPr>
      <w:rFonts w:ascii="Arial" w:eastAsia="Arial" w:hAnsi="Arial" w:cs="Times New Roman"/>
      <w:i/>
      <w:iCs/>
      <w:color w:val="404040" w:themeColor="text1" w:themeTint="BF"/>
      <w:kern w:val="0"/>
      <w:szCs w:val="22"/>
      <w14:ligatures w14:val="none"/>
    </w:rPr>
  </w:style>
  <w:style w:type="paragraph" w:styleId="ListParagraph">
    <w:name w:val="List Paragraph"/>
    <w:basedOn w:val="Normal"/>
    <w:uiPriority w:val="34"/>
    <w:qFormat/>
    <w:rsid w:val="00B43F0E"/>
    <w:pPr>
      <w:ind w:left="720"/>
      <w:contextualSpacing/>
    </w:pPr>
  </w:style>
  <w:style w:type="character" w:styleId="IntenseEmphasis">
    <w:name w:val="Intense Emphasis"/>
    <w:basedOn w:val="DefaultParagraphFont"/>
    <w:uiPriority w:val="21"/>
    <w:qFormat/>
    <w:rsid w:val="00F40FF6"/>
    <w:rPr>
      <w:i/>
      <w:iCs/>
      <w:color w:val="0F4761" w:themeColor="accent1" w:themeShade="BF"/>
    </w:rPr>
  </w:style>
  <w:style w:type="paragraph" w:styleId="IntenseQuote">
    <w:name w:val="Intense Quote"/>
    <w:basedOn w:val="Normal"/>
    <w:next w:val="Normal"/>
    <w:link w:val="IntenseQuoteChar"/>
    <w:uiPriority w:val="30"/>
    <w:rsid w:val="00B43F0E"/>
    <w:pPr>
      <w:pBdr>
        <w:top w:val="single" w:sz="4" w:space="10" w:color="156082" w:themeColor="accent1"/>
        <w:bottom w:val="single" w:sz="4" w:space="10" w:color="156082" w:themeColor="accent1"/>
      </w:pBdr>
      <w:spacing w:before="360" w:after="360"/>
      <w:ind w:left="864" w:right="864"/>
      <w:jc w:val="center"/>
    </w:pPr>
    <w:rPr>
      <w:i/>
      <w:iCs/>
      <w:color w:val="008631"/>
    </w:rPr>
  </w:style>
  <w:style w:type="character" w:customStyle="1" w:styleId="IntenseQuoteChar">
    <w:name w:val="Intense Quote Char"/>
    <w:basedOn w:val="DefaultParagraphFont"/>
    <w:link w:val="IntenseQuote"/>
    <w:uiPriority w:val="30"/>
    <w:rsid w:val="00B43F0E"/>
    <w:rPr>
      <w:rFonts w:ascii="Arial" w:eastAsia="Arial" w:hAnsi="Arial" w:cs="Times New Roman"/>
      <w:i/>
      <w:iCs/>
      <w:color w:val="008631"/>
      <w:kern w:val="0"/>
      <w:szCs w:val="22"/>
      <w14:ligatures w14:val="none"/>
    </w:rPr>
  </w:style>
  <w:style w:type="character" w:styleId="IntenseReference">
    <w:name w:val="Intense Reference"/>
    <w:basedOn w:val="DefaultParagraphFont"/>
    <w:uiPriority w:val="32"/>
    <w:rsid w:val="00B43F0E"/>
    <w:rPr>
      <w:b/>
      <w:bCs/>
      <w:smallCaps/>
      <w:color w:val="008631"/>
      <w:spacing w:val="5"/>
    </w:rPr>
  </w:style>
  <w:style w:type="character" w:customStyle="1" w:styleId="apple-converted-space">
    <w:name w:val="apple-converted-space"/>
    <w:basedOn w:val="DefaultParagraphFont"/>
    <w:rsid w:val="00B43F0E"/>
  </w:style>
  <w:style w:type="paragraph" w:styleId="BalloonText">
    <w:name w:val="Balloon Text"/>
    <w:basedOn w:val="Normal"/>
    <w:link w:val="BalloonTextChar"/>
    <w:uiPriority w:val="99"/>
    <w:semiHidden/>
    <w:unhideWhenUsed/>
    <w:rsid w:val="00B43F0E"/>
    <w:rPr>
      <w:rFonts w:ascii="Tahoma" w:hAnsi="Tahoma" w:cs="Tahoma"/>
      <w:sz w:val="16"/>
      <w:szCs w:val="16"/>
    </w:rPr>
  </w:style>
  <w:style w:type="character" w:customStyle="1" w:styleId="BalloonTextChar">
    <w:name w:val="Balloon Text Char"/>
    <w:basedOn w:val="DefaultParagraphFont"/>
    <w:link w:val="BalloonText"/>
    <w:uiPriority w:val="99"/>
    <w:semiHidden/>
    <w:rsid w:val="00B43F0E"/>
    <w:rPr>
      <w:rFonts w:ascii="Tahoma" w:eastAsia="Arial" w:hAnsi="Tahoma" w:cs="Tahoma"/>
      <w:kern w:val="0"/>
      <w:sz w:val="16"/>
      <w:szCs w:val="16"/>
      <w14:ligatures w14:val="none"/>
    </w:rPr>
  </w:style>
  <w:style w:type="paragraph" w:styleId="Bibliography">
    <w:name w:val="Bibliography"/>
    <w:basedOn w:val="Normal"/>
    <w:next w:val="Normal"/>
    <w:uiPriority w:val="37"/>
    <w:unhideWhenUsed/>
    <w:rsid w:val="00B43F0E"/>
    <w:pPr>
      <w:spacing w:after="0" w:line="480" w:lineRule="auto"/>
      <w:ind w:left="720" w:hanging="720"/>
    </w:pPr>
  </w:style>
  <w:style w:type="table" w:customStyle="1" w:styleId="BlankTableStyle">
    <w:name w:val="Blank Table Style"/>
    <w:basedOn w:val="TableNormal"/>
    <w:uiPriority w:val="99"/>
    <w:qFormat/>
    <w:rsid w:val="00B43F0E"/>
    <w:pPr>
      <w:spacing w:after="0" w:line="240" w:lineRule="auto"/>
    </w:pPr>
    <w:rPr>
      <w:rFonts w:ascii="Arial" w:eastAsia="Arial" w:hAnsi="Arial" w:cs="Times New Roman"/>
      <w:kern w:val="0"/>
      <w:sz w:val="20"/>
      <w:szCs w:val="20"/>
      <w:lang w:eastAsia="en-GB"/>
      <w14:ligatures w14:val="none"/>
    </w:rPr>
    <w:tblPr>
      <w:tblCellMar>
        <w:left w:w="0" w:type="dxa"/>
        <w:right w:w="0" w:type="dxa"/>
      </w:tblCellMar>
    </w:tblPr>
  </w:style>
  <w:style w:type="paragraph" w:styleId="BlockText">
    <w:name w:val="Block Text"/>
    <w:basedOn w:val="Normal"/>
    <w:uiPriority w:val="99"/>
    <w:semiHidden/>
    <w:unhideWhenUsed/>
    <w:rsid w:val="00B43F0E"/>
    <w:pPr>
      <w:pBdr>
        <w:top w:val="single" w:sz="2" w:space="10" w:color="156082" w:themeColor="accent1" w:frame="1"/>
        <w:left w:val="single" w:sz="2" w:space="10" w:color="156082" w:themeColor="accent1" w:frame="1"/>
        <w:bottom w:val="single" w:sz="2" w:space="10" w:color="156082" w:themeColor="accent1" w:frame="1"/>
        <w:right w:val="single" w:sz="2" w:space="10" w:color="156082" w:themeColor="accent1" w:frame="1"/>
      </w:pBdr>
      <w:ind w:left="1152" w:right="1152"/>
    </w:pPr>
    <w:rPr>
      <w:rFonts w:asciiTheme="minorHAnsi" w:eastAsiaTheme="minorEastAsia" w:hAnsiTheme="minorHAnsi" w:cstheme="minorBidi"/>
      <w:i/>
      <w:iCs/>
      <w:color w:val="156082" w:themeColor="accent1"/>
    </w:rPr>
  </w:style>
  <w:style w:type="paragraph" w:styleId="BodyText">
    <w:name w:val="Body Text"/>
    <w:basedOn w:val="Normal"/>
    <w:link w:val="BodyTextChar"/>
    <w:semiHidden/>
    <w:unhideWhenUsed/>
    <w:rsid w:val="00B43F0E"/>
  </w:style>
  <w:style w:type="character" w:customStyle="1" w:styleId="BodyTextChar">
    <w:name w:val="Body Text Char"/>
    <w:basedOn w:val="DefaultParagraphFont"/>
    <w:link w:val="BodyText"/>
    <w:semiHidden/>
    <w:rsid w:val="00B43F0E"/>
    <w:rPr>
      <w:rFonts w:ascii="Arial" w:eastAsia="Arial" w:hAnsi="Arial" w:cs="Times New Roman"/>
      <w:kern w:val="0"/>
      <w:szCs w:val="22"/>
      <w14:ligatures w14:val="none"/>
    </w:rPr>
  </w:style>
  <w:style w:type="paragraph" w:styleId="BodyText2">
    <w:name w:val="Body Text 2"/>
    <w:basedOn w:val="Normal"/>
    <w:link w:val="BodyText2Char"/>
    <w:uiPriority w:val="99"/>
    <w:semiHidden/>
    <w:unhideWhenUsed/>
    <w:rsid w:val="00B43F0E"/>
    <w:pPr>
      <w:spacing w:line="480" w:lineRule="auto"/>
    </w:pPr>
  </w:style>
  <w:style w:type="character" w:customStyle="1" w:styleId="BodyText2Char">
    <w:name w:val="Body Text 2 Char"/>
    <w:basedOn w:val="DefaultParagraphFont"/>
    <w:link w:val="BodyText2"/>
    <w:uiPriority w:val="99"/>
    <w:semiHidden/>
    <w:rsid w:val="00B43F0E"/>
    <w:rPr>
      <w:rFonts w:ascii="Arial" w:eastAsia="Arial" w:hAnsi="Arial" w:cs="Times New Roman"/>
      <w:kern w:val="0"/>
      <w:szCs w:val="22"/>
      <w14:ligatures w14:val="none"/>
    </w:rPr>
  </w:style>
  <w:style w:type="paragraph" w:styleId="BodyText3">
    <w:name w:val="Body Text 3"/>
    <w:basedOn w:val="Normal"/>
    <w:link w:val="BodyText3Char"/>
    <w:uiPriority w:val="99"/>
    <w:semiHidden/>
    <w:unhideWhenUsed/>
    <w:rsid w:val="00B43F0E"/>
    <w:rPr>
      <w:sz w:val="16"/>
      <w:szCs w:val="16"/>
    </w:rPr>
  </w:style>
  <w:style w:type="character" w:customStyle="1" w:styleId="BodyText3Char">
    <w:name w:val="Body Text 3 Char"/>
    <w:basedOn w:val="DefaultParagraphFont"/>
    <w:link w:val="BodyText3"/>
    <w:uiPriority w:val="99"/>
    <w:semiHidden/>
    <w:rsid w:val="00B43F0E"/>
    <w:rPr>
      <w:rFonts w:ascii="Arial" w:eastAsia="Arial" w:hAnsi="Arial" w:cs="Times New Roman"/>
      <w:kern w:val="0"/>
      <w:sz w:val="16"/>
      <w:szCs w:val="16"/>
      <w14:ligatures w14:val="none"/>
    </w:rPr>
  </w:style>
  <w:style w:type="paragraph" w:styleId="BodyTextFirstIndent">
    <w:name w:val="Body Text First Indent"/>
    <w:basedOn w:val="BodyText"/>
    <w:link w:val="BodyTextFirstIndentChar"/>
    <w:uiPriority w:val="99"/>
    <w:semiHidden/>
    <w:unhideWhenUsed/>
    <w:rsid w:val="00B43F0E"/>
    <w:pPr>
      <w:ind w:firstLine="360"/>
    </w:pPr>
  </w:style>
  <w:style w:type="character" w:customStyle="1" w:styleId="BodyTextFirstIndentChar">
    <w:name w:val="Body Text First Indent Char"/>
    <w:basedOn w:val="BodyTextChar"/>
    <w:link w:val="BodyTextFirstIndent"/>
    <w:uiPriority w:val="99"/>
    <w:semiHidden/>
    <w:rsid w:val="00B43F0E"/>
    <w:rPr>
      <w:rFonts w:ascii="Arial" w:eastAsia="Arial" w:hAnsi="Arial" w:cs="Times New Roman"/>
      <w:kern w:val="0"/>
      <w:szCs w:val="22"/>
      <w14:ligatures w14:val="none"/>
    </w:rPr>
  </w:style>
  <w:style w:type="paragraph" w:styleId="BodyTextIndent">
    <w:name w:val="Body Text Indent"/>
    <w:basedOn w:val="Normal"/>
    <w:link w:val="BodyTextIndentChar"/>
    <w:uiPriority w:val="99"/>
    <w:semiHidden/>
    <w:unhideWhenUsed/>
    <w:rsid w:val="00B43F0E"/>
    <w:pPr>
      <w:ind w:left="283"/>
    </w:pPr>
  </w:style>
  <w:style w:type="character" w:customStyle="1" w:styleId="BodyTextIndentChar">
    <w:name w:val="Body Text Indent Char"/>
    <w:basedOn w:val="DefaultParagraphFont"/>
    <w:link w:val="BodyTextIndent"/>
    <w:uiPriority w:val="99"/>
    <w:semiHidden/>
    <w:rsid w:val="00B43F0E"/>
    <w:rPr>
      <w:rFonts w:ascii="Arial" w:eastAsia="Arial" w:hAnsi="Arial" w:cs="Times New Roman"/>
      <w:kern w:val="0"/>
      <w:szCs w:val="22"/>
      <w14:ligatures w14:val="none"/>
    </w:rPr>
  </w:style>
  <w:style w:type="paragraph" w:styleId="BodyTextFirstIndent2">
    <w:name w:val="Body Text First Indent 2"/>
    <w:basedOn w:val="BodyTextIndent"/>
    <w:link w:val="BodyTextFirstIndent2Char"/>
    <w:uiPriority w:val="99"/>
    <w:semiHidden/>
    <w:unhideWhenUsed/>
    <w:rsid w:val="00B43F0E"/>
    <w:pPr>
      <w:ind w:left="360" w:firstLine="360"/>
    </w:pPr>
  </w:style>
  <w:style w:type="character" w:customStyle="1" w:styleId="BodyTextFirstIndent2Char">
    <w:name w:val="Body Text First Indent 2 Char"/>
    <w:basedOn w:val="BodyTextIndentChar"/>
    <w:link w:val="BodyTextFirstIndent2"/>
    <w:uiPriority w:val="99"/>
    <w:semiHidden/>
    <w:rsid w:val="00B43F0E"/>
    <w:rPr>
      <w:rFonts w:ascii="Arial" w:eastAsia="Arial" w:hAnsi="Arial" w:cs="Times New Roman"/>
      <w:kern w:val="0"/>
      <w:szCs w:val="22"/>
      <w14:ligatures w14:val="none"/>
    </w:rPr>
  </w:style>
  <w:style w:type="paragraph" w:styleId="BodyTextIndent2">
    <w:name w:val="Body Text Indent 2"/>
    <w:basedOn w:val="Normal"/>
    <w:link w:val="BodyTextIndent2Char"/>
    <w:uiPriority w:val="99"/>
    <w:semiHidden/>
    <w:unhideWhenUsed/>
    <w:rsid w:val="00B43F0E"/>
    <w:pPr>
      <w:spacing w:line="480" w:lineRule="auto"/>
      <w:ind w:left="283"/>
    </w:pPr>
  </w:style>
  <w:style w:type="character" w:customStyle="1" w:styleId="BodyTextIndent2Char">
    <w:name w:val="Body Text Indent 2 Char"/>
    <w:basedOn w:val="DefaultParagraphFont"/>
    <w:link w:val="BodyTextIndent2"/>
    <w:uiPriority w:val="99"/>
    <w:semiHidden/>
    <w:rsid w:val="00B43F0E"/>
    <w:rPr>
      <w:rFonts w:ascii="Arial" w:eastAsia="Arial" w:hAnsi="Arial" w:cs="Times New Roman"/>
      <w:kern w:val="0"/>
      <w:szCs w:val="22"/>
      <w14:ligatures w14:val="none"/>
    </w:rPr>
  </w:style>
  <w:style w:type="paragraph" w:styleId="BodyTextIndent3">
    <w:name w:val="Body Text Indent 3"/>
    <w:basedOn w:val="Normal"/>
    <w:link w:val="BodyTextIndent3Char"/>
    <w:uiPriority w:val="99"/>
    <w:semiHidden/>
    <w:unhideWhenUsed/>
    <w:rsid w:val="00B43F0E"/>
    <w:pPr>
      <w:ind w:left="283"/>
    </w:pPr>
    <w:rPr>
      <w:sz w:val="16"/>
      <w:szCs w:val="16"/>
    </w:rPr>
  </w:style>
  <w:style w:type="character" w:customStyle="1" w:styleId="BodyTextIndent3Char">
    <w:name w:val="Body Text Indent 3 Char"/>
    <w:basedOn w:val="DefaultParagraphFont"/>
    <w:link w:val="BodyTextIndent3"/>
    <w:uiPriority w:val="99"/>
    <w:semiHidden/>
    <w:rsid w:val="00B43F0E"/>
    <w:rPr>
      <w:rFonts w:ascii="Arial" w:eastAsia="Arial" w:hAnsi="Arial" w:cs="Times New Roman"/>
      <w:kern w:val="0"/>
      <w:sz w:val="16"/>
      <w:szCs w:val="16"/>
      <w14:ligatures w14:val="none"/>
    </w:rPr>
  </w:style>
  <w:style w:type="character" w:customStyle="1" w:styleId="Boldtextblack">
    <w:name w:val="Bold text black"/>
    <w:basedOn w:val="DefaultParagraphFont"/>
    <w:uiPriority w:val="1"/>
    <w:rsid w:val="00B43F0E"/>
    <w:rPr>
      <w:b/>
    </w:rPr>
  </w:style>
  <w:style w:type="character" w:customStyle="1" w:styleId="BoldtextPurple">
    <w:name w:val="Bold text Purple"/>
    <w:basedOn w:val="DefaultParagraphFont"/>
    <w:uiPriority w:val="1"/>
    <w:rsid w:val="00B43F0E"/>
    <w:rPr>
      <w:rFonts w:ascii="Arial" w:hAnsi="Arial"/>
      <w:b/>
      <w:color w:val="78004F"/>
    </w:rPr>
  </w:style>
  <w:style w:type="character" w:styleId="BookTitle">
    <w:name w:val="Book Title"/>
    <w:basedOn w:val="DefaultParagraphFont"/>
    <w:uiPriority w:val="33"/>
    <w:rsid w:val="00B43F0E"/>
    <w:rPr>
      <w:b/>
      <w:bCs/>
      <w:i/>
      <w:iCs/>
      <w:spacing w:val="5"/>
    </w:rPr>
  </w:style>
  <w:style w:type="paragraph" w:styleId="Caption">
    <w:name w:val="caption"/>
    <w:basedOn w:val="Normal"/>
    <w:next w:val="Normal"/>
    <w:autoRedefine/>
    <w:uiPriority w:val="4"/>
    <w:qFormat/>
    <w:rsid w:val="00B43F0E"/>
    <w:pPr>
      <w:spacing w:before="360" w:after="0"/>
    </w:pPr>
    <w:rPr>
      <w:b/>
      <w:iCs/>
      <w:szCs w:val="18"/>
    </w:rPr>
  </w:style>
  <w:style w:type="paragraph" w:styleId="Closing">
    <w:name w:val="Closing"/>
    <w:basedOn w:val="Normal"/>
    <w:link w:val="ClosingChar"/>
    <w:uiPriority w:val="99"/>
    <w:semiHidden/>
    <w:unhideWhenUsed/>
    <w:rsid w:val="00B43F0E"/>
    <w:pPr>
      <w:spacing w:before="0" w:after="0" w:line="240" w:lineRule="auto"/>
      <w:ind w:left="4252"/>
    </w:pPr>
  </w:style>
  <w:style w:type="character" w:customStyle="1" w:styleId="ClosingChar">
    <w:name w:val="Closing Char"/>
    <w:basedOn w:val="DefaultParagraphFont"/>
    <w:link w:val="Closing"/>
    <w:uiPriority w:val="99"/>
    <w:semiHidden/>
    <w:rsid w:val="00B43F0E"/>
    <w:rPr>
      <w:rFonts w:ascii="Arial" w:eastAsia="Arial" w:hAnsi="Arial" w:cs="Times New Roman"/>
      <w:kern w:val="0"/>
      <w:szCs w:val="22"/>
      <w14:ligatures w14:val="none"/>
    </w:rPr>
  </w:style>
  <w:style w:type="table" w:styleId="ColourfulGridAccent5">
    <w:name w:val="Colorful Grid Accent 5"/>
    <w:basedOn w:val="TableNormal"/>
    <w:uiPriority w:val="73"/>
    <w:rsid w:val="00B43F0E"/>
    <w:pPr>
      <w:spacing w:after="0" w:line="240" w:lineRule="auto"/>
    </w:pPr>
    <w:rPr>
      <w:rFonts w:ascii="Arial" w:eastAsia="Arial" w:hAnsi="Arial" w:cs="Times New Roman"/>
      <w:color w:val="000000" w:themeColor="text1"/>
      <w:kern w:val="0"/>
      <w:sz w:val="20"/>
      <w:szCs w:val="20"/>
      <w:lang w:eastAsia="en-GB"/>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ShadingAccent5">
    <w:name w:val="Colorful Shading Accent 5"/>
    <w:basedOn w:val="TableNormal"/>
    <w:uiPriority w:val="71"/>
    <w:rsid w:val="00B43F0E"/>
    <w:pPr>
      <w:spacing w:after="0" w:line="240" w:lineRule="auto"/>
    </w:pPr>
    <w:rPr>
      <w:rFonts w:ascii="Arial" w:eastAsia="Arial" w:hAnsi="Arial" w:cs="Times New Roman"/>
      <w:color w:val="000000" w:themeColor="text1"/>
      <w:kern w:val="0"/>
      <w:sz w:val="20"/>
      <w:szCs w:val="20"/>
      <w:lang w:eastAsia="en-GB"/>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B43F0E"/>
    <w:rPr>
      <w:sz w:val="16"/>
      <w:szCs w:val="16"/>
    </w:rPr>
  </w:style>
  <w:style w:type="paragraph" w:styleId="CommentText">
    <w:name w:val="annotation text"/>
    <w:basedOn w:val="Normal"/>
    <w:link w:val="CommentTextChar"/>
    <w:uiPriority w:val="99"/>
    <w:unhideWhenUsed/>
    <w:rsid w:val="00B43F0E"/>
    <w:rPr>
      <w:sz w:val="20"/>
      <w:szCs w:val="20"/>
    </w:rPr>
  </w:style>
  <w:style w:type="character" w:customStyle="1" w:styleId="CommentTextChar">
    <w:name w:val="Comment Text Char"/>
    <w:basedOn w:val="DefaultParagraphFont"/>
    <w:link w:val="CommentText"/>
    <w:uiPriority w:val="99"/>
    <w:rsid w:val="00B43F0E"/>
    <w:rPr>
      <w:rFonts w:ascii="Arial" w:eastAsia="Arial"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43F0E"/>
    <w:rPr>
      <w:b/>
      <w:bCs/>
    </w:rPr>
  </w:style>
  <w:style w:type="character" w:customStyle="1" w:styleId="CommentSubjectChar">
    <w:name w:val="Comment Subject Char"/>
    <w:basedOn w:val="CommentTextChar"/>
    <w:link w:val="CommentSubject"/>
    <w:uiPriority w:val="99"/>
    <w:semiHidden/>
    <w:rsid w:val="00B43F0E"/>
    <w:rPr>
      <w:rFonts w:ascii="Arial" w:eastAsia="Arial" w:hAnsi="Arial" w:cs="Times New Roman"/>
      <w:b/>
      <w:bCs/>
      <w:kern w:val="0"/>
      <w:sz w:val="20"/>
      <w:szCs w:val="20"/>
      <w14:ligatures w14:val="none"/>
    </w:rPr>
  </w:style>
  <w:style w:type="paragraph" w:customStyle="1" w:styleId="Contents">
    <w:name w:val="Contents"/>
    <w:basedOn w:val="Heading1"/>
    <w:next w:val="Heading1"/>
    <w:uiPriority w:val="2"/>
    <w:qFormat/>
    <w:rsid w:val="00B43F0E"/>
    <w:rPr>
      <w:b w:val="0"/>
      <w:sz w:val="28"/>
      <w:lang w:eastAsia="en-GB"/>
    </w:rPr>
  </w:style>
  <w:style w:type="paragraph" w:customStyle="1" w:styleId="IN-Hyperlink">
    <w:name w:val="IN - Hyperlink"/>
    <w:basedOn w:val="Normal"/>
    <w:next w:val="Normal"/>
    <w:link w:val="IN-HyperlinkChar"/>
    <w:rsid w:val="00B43F0E"/>
    <w:pPr>
      <w:spacing w:before="0" w:after="0" w:line="240" w:lineRule="auto"/>
    </w:pPr>
    <w:rPr>
      <w:rFonts w:eastAsia="Times New Roman"/>
      <w:b/>
      <w:color w:val="0000FF"/>
      <w:sz w:val="22"/>
      <w:szCs w:val="24"/>
    </w:rPr>
  </w:style>
  <w:style w:type="character" w:customStyle="1" w:styleId="IN-HyperlinkChar">
    <w:name w:val="IN - Hyperlink Char"/>
    <w:link w:val="IN-Hyperlink"/>
    <w:rsid w:val="00B43F0E"/>
    <w:rPr>
      <w:rFonts w:ascii="Arial" w:eastAsia="Times New Roman" w:hAnsi="Arial" w:cs="Times New Roman"/>
      <w:b/>
      <w:color w:val="0000FF"/>
      <w:kern w:val="0"/>
      <w:sz w:val="22"/>
      <w14:ligatures w14:val="none"/>
    </w:rPr>
  </w:style>
  <w:style w:type="paragraph" w:customStyle="1" w:styleId="Coverhyperlink">
    <w:name w:val="Cover hyperlink"/>
    <w:basedOn w:val="IN-Hyperlink"/>
    <w:next w:val="Normal"/>
    <w:autoRedefine/>
    <w:rsid w:val="00B43F0E"/>
    <w:rPr>
      <w:rFonts w:asciiTheme="minorHAnsi" w:hAnsiTheme="minorHAnsi"/>
      <w:b w:val="0"/>
      <w:color w:val="FFFFFF" w:themeColor="background1"/>
      <w:sz w:val="24"/>
      <w:u w:val="single"/>
    </w:rPr>
  </w:style>
  <w:style w:type="paragraph" w:customStyle="1" w:styleId="CR-Coversheet-Text-Small">
    <w:name w:val="CR - Cover sheet - Text - Small"/>
    <w:basedOn w:val="Normal"/>
    <w:rsid w:val="00B43F0E"/>
    <w:pPr>
      <w:spacing w:before="0" w:after="100" w:line="240" w:lineRule="auto"/>
      <w:jc w:val="center"/>
    </w:pPr>
    <w:rPr>
      <w:rFonts w:eastAsia="Times New Roman"/>
      <w:sz w:val="20"/>
      <w:szCs w:val="24"/>
    </w:rPr>
  </w:style>
  <w:style w:type="character" w:customStyle="1" w:styleId="c-timestamplabel">
    <w:name w:val="c-timestamp__label"/>
    <w:basedOn w:val="DefaultParagraphFont"/>
    <w:uiPriority w:val="2"/>
    <w:rsid w:val="00B43F0E"/>
  </w:style>
  <w:style w:type="table" w:styleId="DarkList-Accent1">
    <w:name w:val="Dark List Accent 1"/>
    <w:basedOn w:val="TableNormal"/>
    <w:uiPriority w:val="70"/>
    <w:rsid w:val="00B43F0E"/>
    <w:pPr>
      <w:spacing w:after="0" w:line="240" w:lineRule="auto"/>
    </w:pPr>
    <w:rPr>
      <w:rFonts w:ascii="Arial" w:eastAsia="Arial" w:hAnsi="Arial" w:cs="Times New Roman"/>
      <w:color w:val="FFFFFF" w:themeColor="background1"/>
      <w:kern w:val="0"/>
      <w:sz w:val="20"/>
      <w:szCs w:val="20"/>
      <w:lang w:eastAsia="en-GB"/>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customStyle="1" w:styleId="DarkList1">
    <w:name w:val="Dark List1"/>
    <w:basedOn w:val="TableNormal"/>
    <w:uiPriority w:val="70"/>
    <w:locked/>
    <w:rsid w:val="00B43F0E"/>
    <w:pPr>
      <w:spacing w:after="0" w:line="240" w:lineRule="auto"/>
    </w:pPr>
    <w:rPr>
      <w:rFonts w:ascii="Arial" w:eastAsia="Arial" w:hAnsi="Arial" w:cs="Times New Roman"/>
      <w:color w:val="FFFFFF" w:themeColor="background1"/>
      <w:kern w:val="0"/>
      <w:sz w:val="20"/>
      <w:szCs w:val="20"/>
      <w:lang w:eastAsia="en-GB"/>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paragraph" w:customStyle="1" w:styleId="Maintextblack">
    <w:name w:val="Main text black"/>
    <w:basedOn w:val="Normal"/>
    <w:rsid w:val="00B43F0E"/>
  </w:style>
  <w:style w:type="paragraph" w:customStyle="1" w:styleId="Dashedbullet">
    <w:name w:val="Dashed bullet"/>
    <w:basedOn w:val="Maintextblack"/>
    <w:uiPriority w:val="5"/>
    <w:rsid w:val="00B43F0E"/>
    <w:pPr>
      <w:numPr>
        <w:numId w:val="1"/>
      </w:numPr>
      <w:spacing w:after="80"/>
    </w:pPr>
  </w:style>
  <w:style w:type="paragraph" w:customStyle="1" w:styleId="Maintextblue">
    <w:name w:val="Main text blue"/>
    <w:basedOn w:val="Normal"/>
    <w:uiPriority w:val="5"/>
    <w:rsid w:val="00B43F0E"/>
    <w:rPr>
      <w:color w:val="455A21"/>
    </w:rPr>
  </w:style>
  <w:style w:type="paragraph" w:customStyle="1" w:styleId="Dashedbulletgreen">
    <w:name w:val="Dashed bullet green"/>
    <w:basedOn w:val="Maintextblue"/>
    <w:autoRedefine/>
    <w:uiPriority w:val="4"/>
    <w:rsid w:val="00B43F0E"/>
    <w:pPr>
      <w:numPr>
        <w:numId w:val="2"/>
      </w:numPr>
      <w:spacing w:after="80"/>
    </w:pPr>
    <w:rPr>
      <w:color w:val="008631"/>
    </w:rPr>
  </w:style>
  <w:style w:type="paragraph" w:styleId="Date">
    <w:name w:val="Date"/>
    <w:basedOn w:val="Normal"/>
    <w:next w:val="Normal"/>
    <w:link w:val="DateChar"/>
    <w:uiPriority w:val="99"/>
    <w:semiHidden/>
    <w:unhideWhenUsed/>
    <w:rsid w:val="00B43F0E"/>
  </w:style>
  <w:style w:type="character" w:customStyle="1" w:styleId="DateChar">
    <w:name w:val="Date Char"/>
    <w:basedOn w:val="DefaultParagraphFont"/>
    <w:link w:val="Date"/>
    <w:uiPriority w:val="99"/>
    <w:semiHidden/>
    <w:rsid w:val="00B43F0E"/>
    <w:rPr>
      <w:rFonts w:ascii="Arial" w:eastAsia="Arial" w:hAnsi="Arial" w:cs="Times New Roman"/>
      <w:kern w:val="0"/>
      <w:szCs w:val="22"/>
      <w14:ligatures w14:val="none"/>
    </w:rPr>
  </w:style>
  <w:style w:type="paragraph" w:customStyle="1" w:styleId="Dateandversion">
    <w:name w:val="Date and version"/>
    <w:basedOn w:val="Normal"/>
    <w:uiPriority w:val="2"/>
    <w:qFormat/>
    <w:rsid w:val="00B43F0E"/>
    <w:rPr>
      <w:sz w:val="28"/>
    </w:rPr>
  </w:style>
  <w:style w:type="paragraph" w:customStyle="1" w:styleId="Decimalaligned">
    <w:name w:val="Decimal aligned"/>
    <w:basedOn w:val="Normal"/>
    <w:uiPriority w:val="40"/>
    <w:rsid w:val="00B43F0E"/>
    <w:pPr>
      <w:tabs>
        <w:tab w:val="decimal" w:pos="360"/>
      </w:tabs>
      <w:spacing w:after="200"/>
    </w:pPr>
    <w:rPr>
      <w:rFonts w:asciiTheme="minorHAnsi" w:eastAsiaTheme="minorEastAsia" w:hAnsiTheme="minorHAnsi" w:cstheme="minorBidi"/>
      <w:lang w:val="en-US"/>
    </w:rPr>
  </w:style>
  <w:style w:type="paragraph" w:customStyle="1" w:styleId="Default">
    <w:name w:val="Default"/>
    <w:rsid w:val="00B43F0E"/>
    <w:pPr>
      <w:autoSpaceDE w:val="0"/>
      <w:autoSpaceDN w:val="0"/>
      <w:adjustRightInd w:val="0"/>
      <w:spacing w:after="0" w:line="240" w:lineRule="auto"/>
    </w:pPr>
    <w:rPr>
      <w:rFonts w:ascii="Calibri" w:eastAsia="Arial" w:hAnsi="Calibri" w:cs="Calibri"/>
      <w:color w:val="000000"/>
      <w:kern w:val="0"/>
      <w:lang w:eastAsia="en-GB"/>
      <w14:ligatures w14:val="none"/>
    </w:rPr>
  </w:style>
  <w:style w:type="table" w:customStyle="1" w:styleId="DefraGreen">
    <w:name w:val="Defra Green"/>
    <w:basedOn w:val="TableNormal"/>
    <w:uiPriority w:val="99"/>
    <w:qFormat/>
    <w:rsid w:val="00B43F0E"/>
    <w:pPr>
      <w:spacing w:before="60" w:after="80" w:line="240" w:lineRule="auto"/>
    </w:pPr>
    <w:rPr>
      <w:rFonts w:ascii="Arial" w:eastAsia="Calibri" w:hAnsi="Arial" w:cs="Times New Roman"/>
      <w:kern w:val="0"/>
      <w:sz w:val="22"/>
      <w:szCs w:val="20"/>
      <w:lang w:eastAsia="en-GB"/>
      <w14:ligatures w14:val="none"/>
    </w:rPr>
    <w:tblPr>
      <w:tblStyleColBandSize w:val="1"/>
      <w:tblBorders>
        <w:top w:val="single" w:sz="4" w:space="0" w:color="008938"/>
        <w:left w:val="single" w:sz="4" w:space="0" w:color="008938"/>
        <w:bottom w:val="single" w:sz="4" w:space="0" w:color="008938"/>
        <w:right w:val="single" w:sz="4" w:space="0" w:color="008938"/>
        <w:insideH w:val="single" w:sz="4" w:space="0" w:color="008938"/>
        <w:insideV w:val="single" w:sz="4" w:space="0" w:color="008938"/>
      </w:tblBorders>
    </w:tblPr>
    <w:tcPr>
      <w:shd w:val="clear" w:color="auto" w:fill="FFFFFF"/>
    </w:tcPr>
    <w:tblStylePr w:type="firstRow">
      <w:rPr>
        <w:rFonts w:ascii="Arial" w:hAnsi="Arial"/>
        <w:color w:val="FFFFFF"/>
        <w:sz w:val="28"/>
      </w:rPr>
      <w:tblPr/>
      <w:tcPr>
        <w:shd w:val="clear" w:color="auto" w:fill="008938"/>
      </w:tcPr>
    </w:tblStylePr>
    <w:tblStylePr w:type="firstCol">
      <w:tblPr/>
      <w:tcPr>
        <w:shd w:val="clear" w:color="auto" w:fill="CBE9D3"/>
      </w:tcPr>
    </w:tblStylePr>
    <w:tblStylePr w:type="band2Vert">
      <w:tblPr/>
      <w:tcPr>
        <w:tcBorders>
          <w:top w:val="nil"/>
          <w:left w:val="nil"/>
          <w:bottom w:val="nil"/>
          <w:right w:val="nil"/>
          <w:insideH w:val="nil"/>
          <w:insideV w:val="nil"/>
          <w:tl2br w:val="nil"/>
          <w:tr2bl w:val="nil"/>
        </w:tcBorders>
        <w:shd w:val="clear" w:color="auto" w:fill="FFFFFF"/>
      </w:tcPr>
    </w:tblStylePr>
  </w:style>
  <w:style w:type="paragraph" w:styleId="DocumentMap">
    <w:name w:val="Document Map"/>
    <w:basedOn w:val="Normal"/>
    <w:link w:val="DocumentMapChar"/>
    <w:uiPriority w:val="99"/>
    <w:semiHidden/>
    <w:unhideWhenUsed/>
    <w:rsid w:val="00B43F0E"/>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43F0E"/>
    <w:rPr>
      <w:rFonts w:ascii="Segoe UI" w:eastAsia="Arial" w:hAnsi="Segoe UI" w:cs="Segoe UI"/>
      <w:kern w:val="0"/>
      <w:sz w:val="16"/>
      <w:szCs w:val="16"/>
      <w14:ligatures w14:val="none"/>
    </w:rPr>
  </w:style>
  <w:style w:type="paragraph" w:styleId="EmailSignature">
    <w:name w:val="E-mail Signature"/>
    <w:basedOn w:val="Normal"/>
    <w:link w:val="EmailSignatureChar"/>
    <w:uiPriority w:val="99"/>
    <w:semiHidden/>
    <w:unhideWhenUsed/>
    <w:rsid w:val="00B43F0E"/>
    <w:pPr>
      <w:spacing w:before="0" w:after="0" w:line="240" w:lineRule="auto"/>
    </w:pPr>
  </w:style>
  <w:style w:type="character" w:customStyle="1" w:styleId="EmailSignatureChar">
    <w:name w:val="Email Signature Char"/>
    <w:basedOn w:val="DefaultParagraphFont"/>
    <w:link w:val="EmailSignature"/>
    <w:uiPriority w:val="99"/>
    <w:semiHidden/>
    <w:rsid w:val="00B43F0E"/>
    <w:rPr>
      <w:rFonts w:ascii="Arial" w:eastAsia="Arial" w:hAnsi="Arial" w:cs="Times New Roman"/>
      <w:kern w:val="0"/>
      <w:szCs w:val="22"/>
      <w14:ligatures w14:val="none"/>
    </w:rPr>
  </w:style>
  <w:style w:type="character" w:styleId="Emphasis">
    <w:name w:val="Emphasis"/>
    <w:basedOn w:val="DefaultParagraphFont"/>
    <w:uiPriority w:val="20"/>
    <w:qFormat/>
    <w:rsid w:val="00B43F0E"/>
    <w:rPr>
      <w:i/>
      <w:iCs/>
    </w:rPr>
  </w:style>
  <w:style w:type="paragraph" w:styleId="EndnoteText">
    <w:name w:val="endnote text"/>
    <w:basedOn w:val="Normal"/>
    <w:link w:val="EndnoteTextChar"/>
    <w:uiPriority w:val="99"/>
    <w:semiHidden/>
    <w:unhideWhenUsed/>
    <w:rsid w:val="00B43F0E"/>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B43F0E"/>
    <w:rPr>
      <w:rFonts w:ascii="Arial" w:eastAsia="Arial" w:hAnsi="Arial" w:cs="Times New Roman"/>
      <w:kern w:val="0"/>
      <w:sz w:val="20"/>
      <w:szCs w:val="20"/>
      <w14:ligatures w14:val="none"/>
    </w:rPr>
  </w:style>
  <w:style w:type="paragraph" w:styleId="EnvelopeAddress">
    <w:name w:val="envelope address"/>
    <w:basedOn w:val="Normal"/>
    <w:uiPriority w:val="99"/>
    <w:semiHidden/>
    <w:unhideWhenUsed/>
    <w:rsid w:val="00B43F0E"/>
    <w:pPr>
      <w:framePr w:w="7920" w:h="1980" w:hRule="exact" w:hSpace="180" w:wrap="auto" w:hAnchor="page" w:xAlign="center" w:yAlign="bottom"/>
      <w:spacing w:before="0"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B43F0E"/>
    <w:pPr>
      <w:spacing w:before="0" w:after="0" w:line="240" w:lineRule="auto"/>
    </w:pPr>
    <w:rPr>
      <w:rFonts w:asciiTheme="majorHAnsi" w:eastAsiaTheme="majorEastAsia" w:hAnsiTheme="majorHAnsi" w:cstheme="majorBidi"/>
      <w:sz w:val="20"/>
      <w:szCs w:val="20"/>
    </w:rPr>
  </w:style>
  <w:style w:type="paragraph" w:customStyle="1" w:styleId="Figureorimagetitle">
    <w:name w:val="Figure or image title"/>
    <w:uiPriority w:val="3"/>
    <w:rsid w:val="00B43F0E"/>
    <w:pPr>
      <w:spacing w:before="120" w:after="120" w:line="240" w:lineRule="auto"/>
    </w:pPr>
    <w:rPr>
      <w:rFonts w:ascii="Arial" w:eastAsia="Arial" w:hAnsi="Arial" w:cs="Times New Roman"/>
      <w:b/>
      <w:kern w:val="0"/>
      <w:sz w:val="22"/>
      <w:szCs w:val="22"/>
      <w14:ligatures w14:val="none"/>
    </w:rPr>
  </w:style>
  <w:style w:type="character" w:styleId="FollowedHyperlink">
    <w:name w:val="FollowedHyperlink"/>
    <w:basedOn w:val="DefaultParagraphFont"/>
    <w:uiPriority w:val="99"/>
    <w:semiHidden/>
    <w:unhideWhenUsed/>
    <w:rsid w:val="00B43F0E"/>
    <w:rPr>
      <w:color w:val="954F72"/>
      <w:u w:val="single"/>
    </w:rPr>
  </w:style>
  <w:style w:type="paragraph" w:styleId="Footer">
    <w:name w:val="footer"/>
    <w:basedOn w:val="Normal"/>
    <w:link w:val="FooterChar"/>
    <w:uiPriority w:val="99"/>
    <w:rsid w:val="00B43F0E"/>
  </w:style>
  <w:style w:type="character" w:customStyle="1" w:styleId="FooterChar">
    <w:name w:val="Footer Char"/>
    <w:basedOn w:val="DefaultParagraphFont"/>
    <w:link w:val="Footer"/>
    <w:uiPriority w:val="99"/>
    <w:rsid w:val="00B43F0E"/>
    <w:rPr>
      <w:rFonts w:ascii="Arial" w:eastAsia="Arial" w:hAnsi="Arial" w:cs="Times New Roman"/>
      <w:kern w:val="0"/>
      <w:szCs w:val="22"/>
      <w14:ligatures w14:val="none"/>
    </w:rPr>
  </w:style>
  <w:style w:type="character" w:styleId="FootnoteReference">
    <w:name w:val="footnote reference"/>
    <w:basedOn w:val="DefaultParagraphFont"/>
    <w:uiPriority w:val="99"/>
    <w:semiHidden/>
    <w:unhideWhenUsed/>
    <w:rsid w:val="00B43F0E"/>
    <w:rPr>
      <w:vertAlign w:val="superscript"/>
    </w:rPr>
  </w:style>
  <w:style w:type="paragraph" w:styleId="FootnoteText">
    <w:name w:val="footnote text"/>
    <w:basedOn w:val="Normal"/>
    <w:link w:val="FootnoteTextChar"/>
    <w:uiPriority w:val="99"/>
    <w:unhideWhenUsed/>
    <w:rsid w:val="00B43F0E"/>
    <w:pPr>
      <w:spacing w:after="0"/>
    </w:pPr>
    <w:rPr>
      <w:rFonts w:asciiTheme="minorHAnsi" w:eastAsiaTheme="minorEastAsia" w:hAnsiTheme="minorHAnsi" w:cstheme="minorBidi"/>
      <w:sz w:val="20"/>
      <w:szCs w:val="20"/>
      <w:lang w:val="en-US"/>
    </w:rPr>
  </w:style>
  <w:style w:type="character" w:customStyle="1" w:styleId="FootnoteTextChar">
    <w:name w:val="Footnote Text Char"/>
    <w:basedOn w:val="DefaultParagraphFont"/>
    <w:link w:val="FootnoteText"/>
    <w:uiPriority w:val="99"/>
    <w:rsid w:val="00B43F0E"/>
    <w:rPr>
      <w:rFonts w:eastAsiaTheme="minorEastAsia"/>
      <w:kern w:val="0"/>
      <w:sz w:val="20"/>
      <w:szCs w:val="20"/>
      <w:lang w:val="en-US"/>
      <w14:ligatures w14:val="none"/>
    </w:rPr>
  </w:style>
  <w:style w:type="paragraph" w:customStyle="1" w:styleId="h4">
    <w:name w:val="h4"/>
    <w:basedOn w:val="Normal"/>
    <w:rsid w:val="00B43F0E"/>
    <w:pPr>
      <w:spacing w:before="100" w:beforeAutospacing="1" w:after="100" w:afterAutospacing="1" w:line="240" w:lineRule="auto"/>
    </w:pPr>
    <w:rPr>
      <w:rFonts w:ascii="Times New Roman" w:eastAsia="Times New Roman" w:hAnsi="Times New Roman"/>
      <w:szCs w:val="24"/>
      <w:lang w:eastAsia="en-GB"/>
    </w:rPr>
  </w:style>
  <w:style w:type="paragraph" w:styleId="Header">
    <w:name w:val="header"/>
    <w:basedOn w:val="Normal"/>
    <w:link w:val="HeaderChar"/>
    <w:uiPriority w:val="99"/>
    <w:rsid w:val="00B43F0E"/>
    <w:pPr>
      <w:jc w:val="right"/>
    </w:pPr>
  </w:style>
  <w:style w:type="character" w:customStyle="1" w:styleId="HeaderChar">
    <w:name w:val="Header Char"/>
    <w:basedOn w:val="DefaultParagraphFont"/>
    <w:link w:val="Header"/>
    <w:uiPriority w:val="99"/>
    <w:rsid w:val="00B43F0E"/>
    <w:rPr>
      <w:rFonts w:ascii="Arial" w:eastAsia="Arial" w:hAnsi="Arial" w:cs="Times New Roman"/>
      <w:kern w:val="0"/>
      <w:szCs w:val="22"/>
      <w14:ligatures w14:val="none"/>
    </w:rPr>
  </w:style>
  <w:style w:type="paragraph" w:styleId="HTMLAddress">
    <w:name w:val="HTML Address"/>
    <w:basedOn w:val="Normal"/>
    <w:link w:val="HTMLAddressChar"/>
    <w:uiPriority w:val="99"/>
    <w:semiHidden/>
    <w:unhideWhenUsed/>
    <w:rsid w:val="00B43F0E"/>
    <w:pPr>
      <w:spacing w:before="0" w:after="0" w:line="240" w:lineRule="auto"/>
    </w:pPr>
    <w:rPr>
      <w:i/>
      <w:iCs/>
    </w:rPr>
  </w:style>
  <w:style w:type="character" w:customStyle="1" w:styleId="HTMLAddressChar">
    <w:name w:val="HTML Address Char"/>
    <w:basedOn w:val="DefaultParagraphFont"/>
    <w:link w:val="HTMLAddress"/>
    <w:uiPriority w:val="99"/>
    <w:semiHidden/>
    <w:rsid w:val="00B43F0E"/>
    <w:rPr>
      <w:rFonts w:ascii="Arial" w:eastAsia="Arial" w:hAnsi="Arial" w:cs="Times New Roman"/>
      <w:i/>
      <w:iCs/>
      <w:kern w:val="0"/>
      <w:szCs w:val="22"/>
      <w14:ligatures w14:val="none"/>
    </w:rPr>
  </w:style>
  <w:style w:type="character" w:styleId="HTMLCode">
    <w:name w:val="HTML Code"/>
    <w:basedOn w:val="DefaultParagraphFont"/>
    <w:uiPriority w:val="99"/>
    <w:semiHidden/>
    <w:unhideWhenUsed/>
    <w:rsid w:val="00B43F0E"/>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B43F0E"/>
    <w:pPr>
      <w:spacing w:before="0"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43F0E"/>
    <w:rPr>
      <w:rFonts w:ascii="Consolas" w:eastAsia="Arial" w:hAnsi="Consolas" w:cs="Times New Roman"/>
      <w:kern w:val="0"/>
      <w:sz w:val="20"/>
      <w:szCs w:val="20"/>
      <w14:ligatures w14:val="none"/>
    </w:rPr>
  </w:style>
  <w:style w:type="character" w:styleId="Hyperlink">
    <w:name w:val="Hyperlink"/>
    <w:basedOn w:val="DefaultParagraphFont"/>
    <w:uiPriority w:val="99"/>
    <w:qFormat/>
    <w:rsid w:val="00B43F0E"/>
    <w:rPr>
      <w:color w:val="1D70B8"/>
      <w:u w:val="single"/>
    </w:rPr>
  </w:style>
  <w:style w:type="paragraph" w:styleId="Index1">
    <w:name w:val="index 1"/>
    <w:basedOn w:val="Normal"/>
    <w:next w:val="Normal"/>
    <w:autoRedefine/>
    <w:uiPriority w:val="99"/>
    <w:semiHidden/>
    <w:unhideWhenUsed/>
    <w:rsid w:val="00B43F0E"/>
    <w:pPr>
      <w:spacing w:before="0" w:after="0" w:line="240" w:lineRule="auto"/>
      <w:ind w:left="240" w:hanging="240"/>
    </w:pPr>
  </w:style>
  <w:style w:type="paragraph" w:styleId="Index2">
    <w:name w:val="index 2"/>
    <w:basedOn w:val="Normal"/>
    <w:next w:val="Normal"/>
    <w:autoRedefine/>
    <w:uiPriority w:val="99"/>
    <w:semiHidden/>
    <w:unhideWhenUsed/>
    <w:rsid w:val="00B43F0E"/>
    <w:pPr>
      <w:spacing w:before="0" w:after="0" w:line="240" w:lineRule="auto"/>
      <w:ind w:left="480" w:hanging="240"/>
    </w:pPr>
  </w:style>
  <w:style w:type="paragraph" w:styleId="Index3">
    <w:name w:val="index 3"/>
    <w:basedOn w:val="Normal"/>
    <w:next w:val="Normal"/>
    <w:autoRedefine/>
    <w:uiPriority w:val="99"/>
    <w:semiHidden/>
    <w:unhideWhenUsed/>
    <w:rsid w:val="00B43F0E"/>
    <w:pPr>
      <w:spacing w:before="0" w:after="0" w:line="240" w:lineRule="auto"/>
      <w:ind w:left="720" w:hanging="240"/>
    </w:pPr>
  </w:style>
  <w:style w:type="paragraph" w:styleId="Index4">
    <w:name w:val="index 4"/>
    <w:basedOn w:val="Normal"/>
    <w:next w:val="Normal"/>
    <w:autoRedefine/>
    <w:uiPriority w:val="99"/>
    <w:semiHidden/>
    <w:unhideWhenUsed/>
    <w:rsid w:val="00B43F0E"/>
    <w:pPr>
      <w:spacing w:before="0" w:after="0" w:line="240" w:lineRule="auto"/>
      <w:ind w:left="960" w:hanging="240"/>
    </w:pPr>
  </w:style>
  <w:style w:type="paragraph" w:styleId="Index5">
    <w:name w:val="index 5"/>
    <w:basedOn w:val="Normal"/>
    <w:next w:val="Normal"/>
    <w:autoRedefine/>
    <w:uiPriority w:val="99"/>
    <w:semiHidden/>
    <w:unhideWhenUsed/>
    <w:rsid w:val="00B43F0E"/>
    <w:pPr>
      <w:spacing w:before="0" w:after="0" w:line="240" w:lineRule="auto"/>
      <w:ind w:left="1200" w:hanging="240"/>
    </w:pPr>
  </w:style>
  <w:style w:type="paragraph" w:styleId="Index6">
    <w:name w:val="index 6"/>
    <w:basedOn w:val="Normal"/>
    <w:next w:val="Normal"/>
    <w:autoRedefine/>
    <w:uiPriority w:val="99"/>
    <w:semiHidden/>
    <w:unhideWhenUsed/>
    <w:rsid w:val="00B43F0E"/>
    <w:pPr>
      <w:spacing w:before="0" w:after="0" w:line="240" w:lineRule="auto"/>
      <w:ind w:left="1440" w:hanging="240"/>
    </w:pPr>
  </w:style>
  <w:style w:type="paragraph" w:styleId="Index7">
    <w:name w:val="index 7"/>
    <w:basedOn w:val="Normal"/>
    <w:next w:val="Normal"/>
    <w:autoRedefine/>
    <w:uiPriority w:val="99"/>
    <w:semiHidden/>
    <w:unhideWhenUsed/>
    <w:rsid w:val="00B43F0E"/>
    <w:pPr>
      <w:spacing w:before="0" w:after="0" w:line="240" w:lineRule="auto"/>
      <w:ind w:left="1680" w:hanging="240"/>
    </w:pPr>
  </w:style>
  <w:style w:type="paragraph" w:styleId="Index8">
    <w:name w:val="index 8"/>
    <w:basedOn w:val="Normal"/>
    <w:next w:val="Normal"/>
    <w:autoRedefine/>
    <w:uiPriority w:val="99"/>
    <w:semiHidden/>
    <w:unhideWhenUsed/>
    <w:rsid w:val="00B43F0E"/>
    <w:pPr>
      <w:spacing w:before="0" w:after="0" w:line="240" w:lineRule="auto"/>
      <w:ind w:left="1920" w:hanging="240"/>
    </w:pPr>
  </w:style>
  <w:style w:type="paragraph" w:styleId="Index9">
    <w:name w:val="index 9"/>
    <w:basedOn w:val="Normal"/>
    <w:next w:val="Normal"/>
    <w:autoRedefine/>
    <w:uiPriority w:val="99"/>
    <w:semiHidden/>
    <w:unhideWhenUsed/>
    <w:rsid w:val="00B43F0E"/>
    <w:pPr>
      <w:spacing w:before="0" w:after="0" w:line="240" w:lineRule="auto"/>
      <w:ind w:left="2160" w:hanging="240"/>
    </w:pPr>
  </w:style>
  <w:style w:type="paragraph" w:styleId="IndexHeading">
    <w:name w:val="index heading"/>
    <w:basedOn w:val="Normal"/>
    <w:next w:val="Index1"/>
    <w:uiPriority w:val="99"/>
    <w:semiHidden/>
    <w:unhideWhenUsed/>
    <w:rsid w:val="00B43F0E"/>
    <w:rPr>
      <w:rFonts w:asciiTheme="majorHAnsi" w:eastAsiaTheme="majorEastAsia" w:hAnsiTheme="majorHAnsi" w:cstheme="majorBidi"/>
      <w:b/>
      <w:bCs/>
    </w:rPr>
  </w:style>
  <w:style w:type="paragraph" w:customStyle="1" w:styleId="Introductiontext">
    <w:name w:val="Introduction text"/>
    <w:rsid w:val="00B43F0E"/>
    <w:pPr>
      <w:spacing w:after="120" w:line="240" w:lineRule="auto"/>
    </w:pPr>
    <w:rPr>
      <w:rFonts w:ascii="Arial" w:eastAsia="Times New Roman" w:hAnsi="Arial" w:cs="Arial"/>
      <w:kern w:val="0"/>
      <w:sz w:val="28"/>
      <w:szCs w:val="28"/>
      <w:lang w:eastAsia="en-GB"/>
      <w14:ligatures w14:val="none"/>
    </w:rPr>
  </w:style>
  <w:style w:type="character" w:customStyle="1" w:styleId="Italic">
    <w:name w:val="Italic"/>
    <w:basedOn w:val="DefaultParagraphFont"/>
    <w:uiPriority w:val="1"/>
    <w:rsid w:val="00B43F0E"/>
    <w:rPr>
      <w:i/>
    </w:rPr>
  </w:style>
  <w:style w:type="character" w:customStyle="1" w:styleId="level-aa">
    <w:name w:val="level-aa"/>
    <w:basedOn w:val="DefaultParagraphFont"/>
    <w:rsid w:val="00B43F0E"/>
  </w:style>
  <w:style w:type="table" w:styleId="LightGrid-Accent3">
    <w:name w:val="Light Grid Accent 3"/>
    <w:basedOn w:val="TableNormal"/>
    <w:uiPriority w:val="62"/>
    <w:rsid w:val="00B43F0E"/>
    <w:pPr>
      <w:spacing w:after="0" w:line="240" w:lineRule="auto"/>
    </w:pPr>
    <w:rPr>
      <w:rFonts w:ascii="Arial" w:eastAsia="Arial" w:hAnsi="Arial" w:cs="Times New Roman"/>
      <w:kern w:val="0"/>
      <w:sz w:val="20"/>
      <w:szCs w:val="20"/>
      <w:lang w:eastAsia="en-GB"/>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List-Accent2">
    <w:name w:val="Light List Accent 2"/>
    <w:basedOn w:val="TableNormal"/>
    <w:uiPriority w:val="61"/>
    <w:rsid w:val="00B43F0E"/>
    <w:pPr>
      <w:spacing w:after="0" w:line="240" w:lineRule="auto"/>
    </w:pPr>
    <w:rPr>
      <w:rFonts w:ascii="Arial" w:eastAsia="Arial" w:hAnsi="Arial" w:cs="Times New Roman"/>
      <w:kern w:val="0"/>
      <w:sz w:val="20"/>
      <w:szCs w:val="20"/>
      <w:lang w:eastAsia="en-GB"/>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B43F0E"/>
    <w:pPr>
      <w:spacing w:after="0" w:line="240" w:lineRule="auto"/>
    </w:pPr>
    <w:rPr>
      <w:rFonts w:ascii="Arial" w:eastAsia="Arial" w:hAnsi="Arial" w:cs="Times New Roman"/>
      <w:kern w:val="0"/>
      <w:sz w:val="20"/>
      <w:szCs w:val="20"/>
      <w:lang w:eastAsia="en-GB"/>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B43F0E"/>
    <w:pPr>
      <w:spacing w:after="0" w:line="240" w:lineRule="auto"/>
    </w:pPr>
    <w:rPr>
      <w:rFonts w:ascii="Arial" w:eastAsia="Arial" w:hAnsi="Arial" w:cs="Times New Roman"/>
      <w:kern w:val="0"/>
      <w:sz w:val="20"/>
      <w:szCs w:val="20"/>
      <w:lang w:eastAsia="en-GB"/>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B43F0E"/>
    <w:pPr>
      <w:spacing w:after="0" w:line="240" w:lineRule="auto"/>
    </w:pPr>
    <w:rPr>
      <w:rFonts w:ascii="Arial" w:eastAsia="Arial" w:hAnsi="Arial" w:cs="Times New Roman"/>
      <w:kern w:val="0"/>
      <w:sz w:val="20"/>
      <w:szCs w:val="20"/>
      <w:lang w:eastAsia="en-GB"/>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customStyle="1" w:styleId="LightList1">
    <w:name w:val="Light List1"/>
    <w:basedOn w:val="TableNormal"/>
    <w:uiPriority w:val="61"/>
    <w:locked/>
    <w:rsid w:val="00B43F0E"/>
    <w:pPr>
      <w:spacing w:after="0" w:line="240" w:lineRule="auto"/>
    </w:pPr>
    <w:rPr>
      <w:rFonts w:eastAsiaTheme="minorEastAsia"/>
      <w:kern w:val="0"/>
      <w:sz w:val="22"/>
      <w:szCs w:val="22"/>
      <w:lang w:val="en-US" w:bidi="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Accent2">
    <w:name w:val="Light Shading Accent 2"/>
    <w:basedOn w:val="TableNormal"/>
    <w:uiPriority w:val="60"/>
    <w:rsid w:val="00B43F0E"/>
    <w:pPr>
      <w:spacing w:after="0" w:line="240" w:lineRule="auto"/>
    </w:pPr>
    <w:rPr>
      <w:rFonts w:ascii="Arial" w:eastAsia="Arial" w:hAnsi="Arial" w:cs="Times New Roman"/>
      <w:color w:val="BF4E14" w:themeColor="accent2" w:themeShade="BF"/>
      <w:kern w:val="0"/>
      <w:sz w:val="20"/>
      <w:szCs w:val="20"/>
      <w:lang w:eastAsia="en-GB"/>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B43F0E"/>
    <w:pPr>
      <w:spacing w:after="0" w:line="240" w:lineRule="auto"/>
    </w:pPr>
    <w:rPr>
      <w:rFonts w:ascii="Arial" w:eastAsia="Arial" w:hAnsi="Arial" w:cs="Times New Roman"/>
      <w:color w:val="124F1A" w:themeColor="accent3" w:themeShade="BF"/>
      <w:kern w:val="0"/>
      <w:sz w:val="20"/>
      <w:szCs w:val="20"/>
      <w:lang w:eastAsia="en-GB"/>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B43F0E"/>
    <w:pPr>
      <w:spacing w:after="0" w:line="240" w:lineRule="auto"/>
    </w:pPr>
    <w:rPr>
      <w:rFonts w:ascii="Arial" w:eastAsia="Arial" w:hAnsi="Arial" w:cs="Times New Roman"/>
      <w:color w:val="0B769F" w:themeColor="accent4" w:themeShade="BF"/>
      <w:kern w:val="0"/>
      <w:sz w:val="20"/>
      <w:szCs w:val="20"/>
      <w:lang w:eastAsia="en-GB"/>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B43F0E"/>
    <w:pPr>
      <w:spacing w:after="0" w:line="240" w:lineRule="auto"/>
    </w:pPr>
    <w:rPr>
      <w:rFonts w:ascii="Arial" w:eastAsia="Arial" w:hAnsi="Arial" w:cs="Times New Roman"/>
      <w:color w:val="77206D" w:themeColor="accent5" w:themeShade="BF"/>
      <w:kern w:val="0"/>
      <w:sz w:val="20"/>
      <w:szCs w:val="20"/>
      <w:lang w:eastAsia="en-GB"/>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B43F0E"/>
    <w:pPr>
      <w:spacing w:after="0" w:line="240" w:lineRule="auto"/>
    </w:pPr>
    <w:rPr>
      <w:rFonts w:ascii="Arial" w:eastAsia="Arial" w:hAnsi="Arial" w:cs="Times New Roman"/>
      <w:color w:val="3A7C22" w:themeColor="accent6" w:themeShade="BF"/>
      <w:kern w:val="0"/>
      <w:sz w:val="20"/>
      <w:szCs w:val="20"/>
      <w:lang w:eastAsia="en-GB"/>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paragraph" w:styleId="List">
    <w:name w:val="List"/>
    <w:basedOn w:val="Normal"/>
    <w:uiPriority w:val="99"/>
    <w:semiHidden/>
    <w:unhideWhenUsed/>
    <w:rsid w:val="00B43F0E"/>
    <w:pPr>
      <w:ind w:left="283" w:hanging="283"/>
      <w:contextualSpacing/>
    </w:pPr>
  </w:style>
  <w:style w:type="paragraph" w:styleId="List2">
    <w:name w:val="List 2"/>
    <w:basedOn w:val="Normal"/>
    <w:uiPriority w:val="99"/>
    <w:semiHidden/>
    <w:unhideWhenUsed/>
    <w:rsid w:val="00B43F0E"/>
    <w:pPr>
      <w:ind w:left="566" w:hanging="283"/>
      <w:contextualSpacing/>
    </w:pPr>
  </w:style>
  <w:style w:type="paragraph" w:styleId="List3">
    <w:name w:val="List 3"/>
    <w:basedOn w:val="Normal"/>
    <w:uiPriority w:val="99"/>
    <w:semiHidden/>
    <w:unhideWhenUsed/>
    <w:rsid w:val="00B43F0E"/>
    <w:pPr>
      <w:ind w:left="849" w:hanging="283"/>
      <w:contextualSpacing/>
    </w:pPr>
  </w:style>
  <w:style w:type="paragraph" w:styleId="List4">
    <w:name w:val="List 4"/>
    <w:basedOn w:val="Normal"/>
    <w:uiPriority w:val="99"/>
    <w:semiHidden/>
    <w:unhideWhenUsed/>
    <w:rsid w:val="00B43F0E"/>
    <w:pPr>
      <w:ind w:left="1132" w:hanging="283"/>
      <w:contextualSpacing/>
    </w:pPr>
  </w:style>
  <w:style w:type="paragraph" w:styleId="List5">
    <w:name w:val="List 5"/>
    <w:basedOn w:val="Normal"/>
    <w:uiPriority w:val="99"/>
    <w:semiHidden/>
    <w:unhideWhenUsed/>
    <w:rsid w:val="00B43F0E"/>
    <w:pPr>
      <w:ind w:left="1415" w:hanging="283"/>
      <w:contextualSpacing/>
    </w:pPr>
  </w:style>
  <w:style w:type="paragraph" w:styleId="ListBullet">
    <w:name w:val="List Bullet"/>
    <w:basedOn w:val="Normal"/>
    <w:uiPriority w:val="99"/>
    <w:unhideWhenUsed/>
    <w:rsid w:val="00B43F0E"/>
    <w:pPr>
      <w:numPr>
        <w:numId w:val="3"/>
      </w:numPr>
      <w:contextualSpacing/>
    </w:pPr>
  </w:style>
  <w:style w:type="paragraph" w:styleId="ListBullet2">
    <w:name w:val="List Bullet 2"/>
    <w:basedOn w:val="Normal"/>
    <w:uiPriority w:val="99"/>
    <w:semiHidden/>
    <w:unhideWhenUsed/>
    <w:rsid w:val="00B43F0E"/>
    <w:pPr>
      <w:numPr>
        <w:numId w:val="4"/>
      </w:numPr>
      <w:contextualSpacing/>
    </w:pPr>
  </w:style>
  <w:style w:type="paragraph" w:styleId="ListBullet3">
    <w:name w:val="List Bullet 3"/>
    <w:basedOn w:val="Normal"/>
    <w:uiPriority w:val="99"/>
    <w:semiHidden/>
    <w:unhideWhenUsed/>
    <w:rsid w:val="00B43F0E"/>
    <w:pPr>
      <w:numPr>
        <w:numId w:val="5"/>
      </w:numPr>
      <w:contextualSpacing/>
    </w:pPr>
  </w:style>
  <w:style w:type="paragraph" w:styleId="ListBullet4">
    <w:name w:val="List Bullet 4"/>
    <w:basedOn w:val="Normal"/>
    <w:uiPriority w:val="99"/>
    <w:semiHidden/>
    <w:unhideWhenUsed/>
    <w:rsid w:val="00B43F0E"/>
    <w:pPr>
      <w:numPr>
        <w:numId w:val="6"/>
      </w:numPr>
      <w:contextualSpacing/>
    </w:pPr>
  </w:style>
  <w:style w:type="paragraph" w:styleId="ListBullet5">
    <w:name w:val="List Bullet 5"/>
    <w:basedOn w:val="Normal"/>
    <w:uiPriority w:val="99"/>
    <w:semiHidden/>
    <w:unhideWhenUsed/>
    <w:rsid w:val="00B43F0E"/>
    <w:pPr>
      <w:numPr>
        <w:numId w:val="7"/>
      </w:numPr>
      <w:contextualSpacing/>
    </w:pPr>
  </w:style>
  <w:style w:type="paragraph" w:styleId="ListContinue">
    <w:name w:val="List Continue"/>
    <w:basedOn w:val="Normal"/>
    <w:uiPriority w:val="99"/>
    <w:semiHidden/>
    <w:unhideWhenUsed/>
    <w:rsid w:val="00B43F0E"/>
    <w:pPr>
      <w:ind w:left="283"/>
      <w:contextualSpacing/>
    </w:pPr>
  </w:style>
  <w:style w:type="paragraph" w:styleId="ListContinue2">
    <w:name w:val="List Continue 2"/>
    <w:basedOn w:val="Normal"/>
    <w:uiPriority w:val="99"/>
    <w:semiHidden/>
    <w:unhideWhenUsed/>
    <w:rsid w:val="00B43F0E"/>
    <w:pPr>
      <w:ind w:left="566"/>
      <w:contextualSpacing/>
    </w:pPr>
  </w:style>
  <w:style w:type="paragraph" w:styleId="ListContinue3">
    <w:name w:val="List Continue 3"/>
    <w:basedOn w:val="Normal"/>
    <w:uiPriority w:val="99"/>
    <w:semiHidden/>
    <w:unhideWhenUsed/>
    <w:rsid w:val="00B43F0E"/>
    <w:pPr>
      <w:ind w:left="849"/>
      <w:contextualSpacing/>
    </w:pPr>
  </w:style>
  <w:style w:type="paragraph" w:styleId="ListContinue4">
    <w:name w:val="List Continue 4"/>
    <w:basedOn w:val="Normal"/>
    <w:uiPriority w:val="99"/>
    <w:semiHidden/>
    <w:unhideWhenUsed/>
    <w:rsid w:val="00B43F0E"/>
    <w:pPr>
      <w:ind w:left="1132"/>
      <w:contextualSpacing/>
    </w:pPr>
  </w:style>
  <w:style w:type="paragraph" w:styleId="ListContinue5">
    <w:name w:val="List Continue 5"/>
    <w:basedOn w:val="Normal"/>
    <w:uiPriority w:val="99"/>
    <w:semiHidden/>
    <w:unhideWhenUsed/>
    <w:rsid w:val="00B43F0E"/>
    <w:pPr>
      <w:ind w:left="1415"/>
      <w:contextualSpacing/>
    </w:pPr>
  </w:style>
  <w:style w:type="paragraph" w:styleId="ListNumber">
    <w:name w:val="List Number"/>
    <w:basedOn w:val="Normal"/>
    <w:uiPriority w:val="99"/>
    <w:semiHidden/>
    <w:unhideWhenUsed/>
    <w:rsid w:val="00B43F0E"/>
    <w:pPr>
      <w:numPr>
        <w:numId w:val="8"/>
      </w:numPr>
      <w:contextualSpacing/>
    </w:pPr>
  </w:style>
  <w:style w:type="paragraph" w:styleId="ListNumber2">
    <w:name w:val="List Number 2"/>
    <w:basedOn w:val="Normal"/>
    <w:uiPriority w:val="99"/>
    <w:semiHidden/>
    <w:unhideWhenUsed/>
    <w:rsid w:val="00B43F0E"/>
    <w:pPr>
      <w:numPr>
        <w:numId w:val="9"/>
      </w:numPr>
      <w:contextualSpacing/>
    </w:pPr>
  </w:style>
  <w:style w:type="paragraph" w:styleId="ListNumber3">
    <w:name w:val="List Number 3"/>
    <w:basedOn w:val="Normal"/>
    <w:uiPriority w:val="99"/>
    <w:semiHidden/>
    <w:unhideWhenUsed/>
    <w:rsid w:val="00B43F0E"/>
    <w:pPr>
      <w:numPr>
        <w:numId w:val="10"/>
      </w:numPr>
      <w:contextualSpacing/>
    </w:pPr>
  </w:style>
  <w:style w:type="paragraph" w:styleId="ListNumber4">
    <w:name w:val="List Number 4"/>
    <w:basedOn w:val="Normal"/>
    <w:uiPriority w:val="99"/>
    <w:semiHidden/>
    <w:unhideWhenUsed/>
    <w:rsid w:val="00B43F0E"/>
    <w:pPr>
      <w:numPr>
        <w:numId w:val="11"/>
      </w:numPr>
      <w:contextualSpacing/>
    </w:pPr>
  </w:style>
  <w:style w:type="paragraph" w:styleId="ListNumber5">
    <w:name w:val="List Number 5"/>
    <w:basedOn w:val="Normal"/>
    <w:uiPriority w:val="99"/>
    <w:semiHidden/>
    <w:unhideWhenUsed/>
    <w:rsid w:val="00B43F0E"/>
    <w:pPr>
      <w:numPr>
        <w:numId w:val="12"/>
      </w:numPr>
      <w:contextualSpacing/>
    </w:pPr>
  </w:style>
  <w:style w:type="paragraph" w:styleId="MacroText">
    <w:name w:val="macro"/>
    <w:link w:val="MacroTextChar"/>
    <w:uiPriority w:val="99"/>
    <w:semiHidden/>
    <w:unhideWhenUsed/>
    <w:rsid w:val="00B43F0E"/>
    <w:pPr>
      <w:tabs>
        <w:tab w:val="left" w:pos="480"/>
        <w:tab w:val="left" w:pos="960"/>
        <w:tab w:val="left" w:pos="1440"/>
        <w:tab w:val="left" w:pos="1920"/>
        <w:tab w:val="left" w:pos="2400"/>
        <w:tab w:val="left" w:pos="2880"/>
        <w:tab w:val="left" w:pos="3360"/>
        <w:tab w:val="left" w:pos="3840"/>
        <w:tab w:val="left" w:pos="4320"/>
      </w:tabs>
      <w:spacing w:before="240" w:after="0" w:line="276" w:lineRule="auto"/>
    </w:pPr>
    <w:rPr>
      <w:rFonts w:ascii="Consolas" w:eastAsia="Arial" w:hAnsi="Consolas" w:cs="Times New Roman"/>
      <w:kern w:val="0"/>
      <w:sz w:val="20"/>
      <w:szCs w:val="20"/>
      <w14:ligatures w14:val="none"/>
    </w:rPr>
  </w:style>
  <w:style w:type="character" w:customStyle="1" w:styleId="MacroTextChar">
    <w:name w:val="Macro Text Char"/>
    <w:basedOn w:val="DefaultParagraphFont"/>
    <w:link w:val="MacroText"/>
    <w:uiPriority w:val="99"/>
    <w:semiHidden/>
    <w:rsid w:val="00B43F0E"/>
    <w:rPr>
      <w:rFonts w:ascii="Consolas" w:eastAsia="Arial" w:hAnsi="Consolas" w:cs="Times New Roman"/>
      <w:kern w:val="0"/>
      <w:sz w:val="20"/>
      <w:szCs w:val="20"/>
      <w14:ligatures w14:val="none"/>
    </w:rPr>
  </w:style>
  <w:style w:type="paragraph" w:customStyle="1" w:styleId="Mainheading">
    <w:name w:val="Main heading"/>
    <w:autoRedefine/>
    <w:rsid w:val="00B43F0E"/>
    <w:pPr>
      <w:spacing w:before="120" w:after="240" w:line="240" w:lineRule="auto"/>
      <w:outlineLvl w:val="1"/>
    </w:pPr>
    <w:rPr>
      <w:rFonts w:ascii="Arial" w:eastAsia="Arial" w:hAnsi="Arial" w:cs="Times New Roman"/>
      <w:b/>
      <w:color w:val="008631"/>
      <w:kern w:val="0"/>
      <w:sz w:val="48"/>
      <w:szCs w:val="22"/>
      <w14:ligatures w14:val="none"/>
    </w:rPr>
  </w:style>
  <w:style w:type="table" w:styleId="MediumList2-Accent1">
    <w:name w:val="Medium List 2 Accent 1"/>
    <w:basedOn w:val="TableNormal"/>
    <w:uiPriority w:val="66"/>
    <w:rsid w:val="00B43F0E"/>
    <w:pPr>
      <w:spacing w:after="0" w:line="240" w:lineRule="auto"/>
    </w:pPr>
    <w:rPr>
      <w:rFonts w:asciiTheme="majorHAnsi" w:eastAsiaTheme="majorEastAsia" w:hAnsiTheme="majorHAnsi" w:cstheme="majorBidi"/>
      <w:color w:val="000000" w:themeColor="text1"/>
      <w:kern w:val="0"/>
      <w:sz w:val="22"/>
      <w:szCs w:val="22"/>
      <w:lang w:val="en-US" w:bidi="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B43F0E"/>
    <w:pPr>
      <w:spacing w:after="0" w:line="240" w:lineRule="auto"/>
    </w:pPr>
    <w:rPr>
      <w:rFonts w:asciiTheme="majorHAnsi" w:eastAsiaTheme="majorEastAsia" w:hAnsiTheme="majorHAnsi" w:cstheme="majorBidi"/>
      <w:color w:val="000000" w:themeColor="text1"/>
      <w:kern w:val="0"/>
      <w:sz w:val="20"/>
      <w:szCs w:val="20"/>
      <w:lang w:eastAsia="en-GB"/>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B43F0E"/>
    <w:pPr>
      <w:spacing w:after="0" w:line="240" w:lineRule="auto"/>
    </w:pPr>
    <w:rPr>
      <w:rFonts w:asciiTheme="majorHAnsi" w:eastAsiaTheme="majorEastAsia" w:hAnsiTheme="majorHAnsi" w:cstheme="majorBidi"/>
      <w:color w:val="000000" w:themeColor="text1"/>
      <w:kern w:val="0"/>
      <w:sz w:val="20"/>
      <w:szCs w:val="20"/>
      <w:lang w:eastAsia="en-GB"/>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1">
    <w:name w:val="Medium List 21"/>
    <w:basedOn w:val="TableNormal"/>
    <w:uiPriority w:val="66"/>
    <w:locked/>
    <w:rsid w:val="00B43F0E"/>
    <w:pPr>
      <w:spacing w:after="0" w:line="240" w:lineRule="auto"/>
    </w:pPr>
    <w:rPr>
      <w:rFonts w:asciiTheme="majorHAnsi" w:eastAsiaTheme="majorEastAsia" w:hAnsiTheme="majorHAnsi" w:cstheme="majorBidi"/>
      <w:color w:val="000000" w:themeColor="text1"/>
      <w:kern w:val="0"/>
      <w:sz w:val="20"/>
      <w:szCs w:val="20"/>
      <w:lang w:eastAsia="en-GB"/>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2-Accent5">
    <w:name w:val="Medium Shading 2 Accent 5"/>
    <w:basedOn w:val="TableNormal"/>
    <w:uiPriority w:val="64"/>
    <w:rsid w:val="00B43F0E"/>
    <w:pPr>
      <w:spacing w:after="0" w:line="240" w:lineRule="auto"/>
    </w:pPr>
    <w:rPr>
      <w:rFonts w:eastAsiaTheme="minorEastAsia"/>
      <w:kern w:val="0"/>
      <w:sz w:val="22"/>
      <w:szCs w:val="22"/>
      <w:lang w:val="en-US" w:bidi="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B43F0E"/>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B43F0E"/>
    <w:rPr>
      <w:rFonts w:asciiTheme="majorHAnsi" w:eastAsiaTheme="majorEastAsia" w:hAnsiTheme="majorHAnsi" w:cstheme="majorBidi"/>
      <w:kern w:val="0"/>
      <w:shd w:val="pct20" w:color="auto" w:fill="auto"/>
      <w14:ligatures w14:val="none"/>
    </w:rPr>
  </w:style>
  <w:style w:type="paragraph" w:styleId="NoSpacing">
    <w:name w:val="No Spacing"/>
    <w:uiPriority w:val="1"/>
    <w:rsid w:val="00B43F0E"/>
    <w:pPr>
      <w:spacing w:after="0" w:line="240" w:lineRule="auto"/>
    </w:pPr>
    <w:rPr>
      <w:rFonts w:ascii="Arial" w:eastAsia="Arial" w:hAnsi="Arial" w:cs="Times New Roman"/>
      <w:kern w:val="0"/>
      <w:szCs w:val="22"/>
      <w14:ligatures w14:val="none"/>
    </w:rPr>
  </w:style>
  <w:style w:type="paragraph" w:styleId="NormalWeb">
    <w:name w:val="Normal (Web)"/>
    <w:basedOn w:val="Normal"/>
    <w:uiPriority w:val="99"/>
    <w:unhideWhenUsed/>
    <w:rsid w:val="00B43F0E"/>
    <w:pPr>
      <w:spacing w:before="0" w:after="0" w:line="240" w:lineRule="auto"/>
    </w:pPr>
    <w:rPr>
      <w:rFonts w:ascii="Times New Roman" w:eastAsiaTheme="minorHAnsi" w:hAnsi="Times New Roman"/>
      <w:szCs w:val="24"/>
      <w:lang w:eastAsia="en-GB"/>
    </w:rPr>
  </w:style>
  <w:style w:type="character" w:customStyle="1" w:styleId="Normalbold">
    <w:name w:val="Normal bold"/>
    <w:basedOn w:val="DefaultParagraphFont"/>
    <w:uiPriority w:val="1"/>
    <w:rsid w:val="00B43F0E"/>
    <w:rPr>
      <w:rFonts w:asciiTheme="minorHAnsi" w:hAnsiTheme="minorHAnsi" w:cs="Calibri"/>
      <w:b/>
      <w:color w:val="000000" w:themeColor="text1"/>
      <w:sz w:val="24"/>
      <w:szCs w:val="22"/>
    </w:rPr>
  </w:style>
  <w:style w:type="paragraph" w:styleId="NormalIndent">
    <w:name w:val="Normal Indent"/>
    <w:basedOn w:val="Normal"/>
    <w:uiPriority w:val="99"/>
    <w:semiHidden/>
    <w:unhideWhenUsed/>
    <w:rsid w:val="00B43F0E"/>
    <w:pPr>
      <w:ind w:left="720"/>
    </w:pPr>
  </w:style>
  <w:style w:type="paragraph" w:styleId="NoteHeading">
    <w:name w:val="Note Heading"/>
    <w:basedOn w:val="Normal"/>
    <w:next w:val="Normal"/>
    <w:link w:val="NoteHeadingChar"/>
    <w:uiPriority w:val="99"/>
    <w:semiHidden/>
    <w:unhideWhenUsed/>
    <w:rsid w:val="00B43F0E"/>
    <w:pPr>
      <w:spacing w:before="0" w:after="0" w:line="240" w:lineRule="auto"/>
    </w:pPr>
  </w:style>
  <w:style w:type="character" w:customStyle="1" w:styleId="NoteHeadingChar">
    <w:name w:val="Note Heading Char"/>
    <w:basedOn w:val="DefaultParagraphFont"/>
    <w:link w:val="NoteHeading"/>
    <w:uiPriority w:val="99"/>
    <w:semiHidden/>
    <w:rsid w:val="00B43F0E"/>
    <w:rPr>
      <w:rFonts w:ascii="Arial" w:eastAsia="Arial" w:hAnsi="Arial" w:cs="Times New Roman"/>
      <w:kern w:val="0"/>
      <w:szCs w:val="22"/>
      <w14:ligatures w14:val="none"/>
    </w:rPr>
  </w:style>
  <w:style w:type="paragraph" w:customStyle="1" w:styleId="Numberedbullet">
    <w:name w:val="Numbered bullet"/>
    <w:basedOn w:val="Maintextblack"/>
    <w:rsid w:val="00B43F0E"/>
    <w:pPr>
      <w:numPr>
        <w:numId w:val="13"/>
      </w:numPr>
      <w:spacing w:after="80"/>
    </w:pPr>
  </w:style>
  <w:style w:type="paragraph" w:customStyle="1" w:styleId="Numberedbulletpurple">
    <w:name w:val="Numbered bullet purple"/>
    <w:basedOn w:val="Maintextblue"/>
    <w:autoRedefine/>
    <w:rsid w:val="00B43F0E"/>
    <w:pPr>
      <w:numPr>
        <w:numId w:val="14"/>
      </w:numPr>
      <w:spacing w:after="80"/>
    </w:pPr>
    <w:rPr>
      <w:color w:val="78004F"/>
    </w:rPr>
  </w:style>
  <w:style w:type="paragraph" w:customStyle="1" w:styleId="Numberedheading">
    <w:name w:val="Numbered heading"/>
    <w:autoRedefine/>
    <w:rsid w:val="00B43F0E"/>
    <w:pPr>
      <w:numPr>
        <w:numId w:val="15"/>
      </w:numPr>
      <w:spacing w:before="120" w:after="240" w:line="240" w:lineRule="auto"/>
      <w:outlineLvl w:val="1"/>
    </w:pPr>
    <w:rPr>
      <w:rFonts w:ascii="Arial" w:eastAsia="Arial" w:hAnsi="Arial" w:cs="Times New Roman"/>
      <w:b/>
      <w:color w:val="008631"/>
      <w:kern w:val="0"/>
      <w:sz w:val="48"/>
      <w:szCs w:val="22"/>
      <w14:ligatures w14:val="none"/>
    </w:rPr>
  </w:style>
  <w:style w:type="paragraph" w:customStyle="1" w:styleId="Numberedsecondheading">
    <w:name w:val="Numbered second heading"/>
    <w:rsid w:val="00B43F0E"/>
    <w:pPr>
      <w:numPr>
        <w:ilvl w:val="1"/>
        <w:numId w:val="15"/>
      </w:numPr>
      <w:spacing w:before="240" w:after="40" w:line="240" w:lineRule="auto"/>
      <w:outlineLvl w:val="2"/>
    </w:pPr>
    <w:rPr>
      <w:rFonts w:ascii="Arial" w:eastAsia="Arial" w:hAnsi="Arial" w:cs="Times New Roman"/>
      <w:b/>
      <w:color w:val="008631"/>
      <w:kern w:val="0"/>
      <w:sz w:val="32"/>
      <w:szCs w:val="22"/>
      <w14:ligatures w14:val="none"/>
    </w:rPr>
  </w:style>
  <w:style w:type="paragraph" w:customStyle="1" w:styleId="Numberedthirdheading">
    <w:name w:val="Numbered third heading"/>
    <w:autoRedefine/>
    <w:rsid w:val="00B43F0E"/>
    <w:pPr>
      <w:numPr>
        <w:ilvl w:val="2"/>
        <w:numId w:val="15"/>
      </w:numPr>
      <w:spacing w:before="120" w:after="40" w:line="240" w:lineRule="auto"/>
      <w:outlineLvl w:val="3"/>
    </w:pPr>
    <w:rPr>
      <w:rFonts w:ascii="Arial" w:eastAsia="Arial" w:hAnsi="Arial" w:cs="Times New Roman"/>
      <w:b/>
      <w:color w:val="008631"/>
      <w:kern w:val="0"/>
      <w:sz w:val="26"/>
      <w:szCs w:val="22"/>
      <w14:ligatures w14:val="none"/>
    </w:rPr>
  </w:style>
  <w:style w:type="character" w:styleId="PlaceholderText">
    <w:name w:val="Placeholder Text"/>
    <w:basedOn w:val="DefaultParagraphFont"/>
    <w:uiPriority w:val="99"/>
    <w:semiHidden/>
    <w:rsid w:val="00B43F0E"/>
    <w:rPr>
      <w:color w:val="808080"/>
    </w:rPr>
  </w:style>
  <w:style w:type="paragraph" w:styleId="PlainText">
    <w:name w:val="Plain Text"/>
    <w:basedOn w:val="Normal"/>
    <w:link w:val="PlainTextChar"/>
    <w:uiPriority w:val="99"/>
    <w:unhideWhenUsed/>
    <w:rsid w:val="00B43F0E"/>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43F0E"/>
    <w:rPr>
      <w:rFonts w:ascii="Consolas" w:eastAsia="Arial" w:hAnsi="Consolas" w:cs="Times New Roman"/>
      <w:kern w:val="0"/>
      <w:sz w:val="21"/>
      <w:szCs w:val="21"/>
      <w14:ligatures w14:val="none"/>
    </w:rPr>
  </w:style>
  <w:style w:type="paragraph" w:customStyle="1" w:styleId="PrelimHeading1">
    <w:name w:val="Prelim Heading 1"/>
    <w:basedOn w:val="Heading3"/>
    <w:next w:val="Normal"/>
    <w:link w:val="PrelimHeading1Char"/>
    <w:qFormat/>
    <w:rsid w:val="00B43F0E"/>
    <w:rPr>
      <w:sz w:val="36"/>
    </w:rPr>
  </w:style>
  <w:style w:type="character" w:customStyle="1" w:styleId="PrelimHeading1Char">
    <w:name w:val="Prelim Heading 1 Char"/>
    <w:basedOn w:val="Heading3Char"/>
    <w:link w:val="PrelimHeading1"/>
    <w:rsid w:val="00B43F0E"/>
    <w:rPr>
      <w:rFonts w:ascii="Arial" w:eastAsia="Times New Roman" w:hAnsi="Arial" w:cs="Times New Roman"/>
      <w:b/>
      <w:bCs/>
      <w:color w:val="78004F"/>
      <w:kern w:val="0"/>
      <w:sz w:val="36"/>
      <w14:ligatures w14:val="none"/>
    </w:rPr>
  </w:style>
  <w:style w:type="paragraph" w:customStyle="1" w:styleId="PrelimHeading2">
    <w:name w:val="Prelim Heading 2"/>
    <w:basedOn w:val="Heading2"/>
    <w:next w:val="Normal"/>
    <w:link w:val="PrelimHeading2Char"/>
    <w:qFormat/>
    <w:rsid w:val="00B43F0E"/>
    <w:rPr>
      <w:color w:val="78004F"/>
      <w:sz w:val="32"/>
    </w:rPr>
  </w:style>
  <w:style w:type="character" w:customStyle="1" w:styleId="PrelimHeading2Char">
    <w:name w:val="Prelim Heading 2 Char"/>
    <w:basedOn w:val="Heading2Char"/>
    <w:link w:val="PrelimHeading2"/>
    <w:rsid w:val="00B43F0E"/>
    <w:rPr>
      <w:rFonts w:ascii="Arial" w:eastAsia="Times New Roman" w:hAnsi="Arial" w:cs="Times New Roman"/>
      <w:b/>
      <w:bCs/>
      <w:iCs/>
      <w:color w:val="78004F"/>
      <w:kern w:val="0"/>
      <w:sz w:val="32"/>
      <w:szCs w:val="28"/>
      <w14:ligatures w14:val="none"/>
    </w:rPr>
  </w:style>
  <w:style w:type="paragraph" w:customStyle="1" w:styleId="Reportsubtitle">
    <w:name w:val="Report subtitle"/>
    <w:uiPriority w:val="1"/>
    <w:qFormat/>
    <w:rsid w:val="00B43F0E"/>
    <w:pPr>
      <w:spacing w:after="200" w:line="240" w:lineRule="auto"/>
    </w:pPr>
    <w:rPr>
      <w:rFonts w:ascii="Arial" w:eastAsia="Arial" w:hAnsi="Arial" w:cs="Times New Roman"/>
      <w:color w:val="78004F"/>
      <w:kern w:val="0"/>
      <w:sz w:val="40"/>
      <w:szCs w:val="28"/>
      <w14:ligatures w14:val="none"/>
    </w:rPr>
  </w:style>
  <w:style w:type="paragraph" w:customStyle="1" w:styleId="Reporttitlemidgreen">
    <w:name w:val="Report title mid green"/>
    <w:basedOn w:val="Mainheading"/>
    <w:next w:val="Heading1"/>
    <w:autoRedefine/>
    <w:rsid w:val="00B43F0E"/>
    <w:pPr>
      <w:spacing w:before="360" w:after="520"/>
      <w:outlineLvl w:val="0"/>
    </w:pPr>
  </w:style>
  <w:style w:type="paragraph" w:customStyle="1" w:styleId="ReporttitlePurple">
    <w:name w:val="Report title Purple"/>
    <w:qFormat/>
    <w:rsid w:val="00B43F0E"/>
    <w:pPr>
      <w:spacing w:after="280" w:line="240" w:lineRule="auto"/>
    </w:pPr>
    <w:rPr>
      <w:rFonts w:ascii="Arial" w:eastAsia="Arial" w:hAnsi="Arial" w:cs="Times New Roman"/>
      <w:color w:val="78004F"/>
      <w:kern w:val="0"/>
      <w:sz w:val="56"/>
      <w:szCs w:val="22"/>
      <w14:ligatures w14:val="none"/>
    </w:rPr>
  </w:style>
  <w:style w:type="paragraph" w:customStyle="1" w:styleId="Roundbullet">
    <w:name w:val="Round bullet"/>
    <w:autoRedefine/>
    <w:rsid w:val="00B43F0E"/>
    <w:pPr>
      <w:numPr>
        <w:numId w:val="16"/>
      </w:numPr>
      <w:spacing w:after="120" w:line="240" w:lineRule="auto"/>
    </w:pPr>
    <w:rPr>
      <w:rFonts w:ascii="Arial" w:eastAsia="Arial" w:hAnsi="Arial" w:cs="Times New Roman"/>
      <w:kern w:val="0"/>
      <w:szCs w:val="22"/>
      <w14:ligatures w14:val="none"/>
    </w:rPr>
  </w:style>
  <w:style w:type="paragraph" w:customStyle="1" w:styleId="Roundbulletblack">
    <w:name w:val="Round bullet black"/>
    <w:rsid w:val="00B43F0E"/>
    <w:pPr>
      <w:spacing w:after="80" w:line="240" w:lineRule="auto"/>
      <w:ind w:left="340" w:hanging="340"/>
    </w:pPr>
    <w:rPr>
      <w:rFonts w:ascii="Arial" w:eastAsia="Arial" w:hAnsi="Arial" w:cs="Times New Roman"/>
      <w:kern w:val="0"/>
      <w:sz w:val="22"/>
      <w:szCs w:val="22"/>
      <w14:ligatures w14:val="none"/>
    </w:rPr>
  </w:style>
  <w:style w:type="paragraph" w:customStyle="1" w:styleId="RR-Coversheet-Text">
    <w:name w:val="RR - Cover sheet - Text"/>
    <w:basedOn w:val="Normal"/>
    <w:rsid w:val="00B43F0E"/>
    <w:pPr>
      <w:spacing w:before="220" w:after="440" w:line="240" w:lineRule="auto"/>
      <w:jc w:val="center"/>
    </w:pPr>
    <w:rPr>
      <w:rFonts w:eastAsia="Times New Roman"/>
      <w:sz w:val="26"/>
      <w:szCs w:val="24"/>
    </w:rPr>
  </w:style>
  <w:style w:type="paragraph" w:styleId="Salutation">
    <w:name w:val="Salutation"/>
    <w:basedOn w:val="Normal"/>
    <w:next w:val="Normal"/>
    <w:link w:val="SalutationChar"/>
    <w:uiPriority w:val="99"/>
    <w:semiHidden/>
    <w:unhideWhenUsed/>
    <w:rsid w:val="00B43F0E"/>
  </w:style>
  <w:style w:type="character" w:customStyle="1" w:styleId="SalutationChar">
    <w:name w:val="Salutation Char"/>
    <w:basedOn w:val="DefaultParagraphFont"/>
    <w:link w:val="Salutation"/>
    <w:uiPriority w:val="99"/>
    <w:semiHidden/>
    <w:rsid w:val="00B43F0E"/>
    <w:rPr>
      <w:rFonts w:ascii="Arial" w:eastAsia="Arial" w:hAnsi="Arial" w:cs="Times New Roman"/>
      <w:kern w:val="0"/>
      <w:szCs w:val="22"/>
      <w14:ligatures w14:val="none"/>
    </w:rPr>
  </w:style>
  <w:style w:type="paragraph" w:customStyle="1" w:styleId="Secondheading">
    <w:name w:val="Second heading"/>
    <w:autoRedefine/>
    <w:rsid w:val="00B43F0E"/>
    <w:pPr>
      <w:spacing w:before="240" w:after="40" w:line="240" w:lineRule="auto"/>
      <w:outlineLvl w:val="2"/>
    </w:pPr>
    <w:rPr>
      <w:rFonts w:ascii="Arial" w:eastAsia="Arial" w:hAnsi="Arial" w:cs="Times New Roman"/>
      <w:b/>
      <w:color w:val="008631"/>
      <w:kern w:val="0"/>
      <w:sz w:val="32"/>
      <w:szCs w:val="22"/>
      <w14:ligatures w14:val="none"/>
    </w:rPr>
  </w:style>
  <w:style w:type="paragraph" w:styleId="Signature">
    <w:name w:val="Signature"/>
    <w:basedOn w:val="Normal"/>
    <w:link w:val="SignatureChar"/>
    <w:uiPriority w:val="99"/>
    <w:semiHidden/>
    <w:unhideWhenUsed/>
    <w:rsid w:val="00B43F0E"/>
    <w:pPr>
      <w:spacing w:before="0" w:after="0" w:line="240" w:lineRule="auto"/>
      <w:ind w:left="4252"/>
    </w:pPr>
  </w:style>
  <w:style w:type="character" w:customStyle="1" w:styleId="SignatureChar">
    <w:name w:val="Signature Char"/>
    <w:basedOn w:val="DefaultParagraphFont"/>
    <w:link w:val="Signature"/>
    <w:uiPriority w:val="99"/>
    <w:semiHidden/>
    <w:rsid w:val="00B43F0E"/>
    <w:rPr>
      <w:rFonts w:ascii="Arial" w:eastAsia="Arial" w:hAnsi="Arial" w:cs="Times New Roman"/>
      <w:kern w:val="0"/>
      <w:szCs w:val="22"/>
      <w14:ligatures w14:val="none"/>
    </w:rPr>
  </w:style>
  <w:style w:type="character" w:styleId="Strong">
    <w:name w:val="Strong"/>
    <w:basedOn w:val="DefaultParagraphFont"/>
    <w:uiPriority w:val="22"/>
    <w:qFormat/>
    <w:rsid w:val="00B43F0E"/>
    <w:rPr>
      <w:b/>
      <w:bCs/>
    </w:rPr>
  </w:style>
  <w:style w:type="character" w:customStyle="1" w:styleId="Subscript">
    <w:name w:val="Subscript"/>
    <w:basedOn w:val="DefaultParagraphFont"/>
    <w:uiPriority w:val="1"/>
    <w:rsid w:val="00B43F0E"/>
    <w:rPr>
      <w:vertAlign w:val="subscript"/>
    </w:rPr>
  </w:style>
  <w:style w:type="character" w:styleId="SubtleReference">
    <w:name w:val="Subtle Reference"/>
    <w:basedOn w:val="DefaultParagraphFont"/>
    <w:uiPriority w:val="31"/>
    <w:rsid w:val="00B43F0E"/>
    <w:rPr>
      <w:smallCaps/>
      <w:color w:val="5A5A5A" w:themeColor="text1" w:themeTint="A5"/>
    </w:rPr>
  </w:style>
  <w:style w:type="character" w:customStyle="1" w:styleId="Superscript">
    <w:name w:val="Superscript"/>
    <w:basedOn w:val="DefaultParagraphFont"/>
    <w:uiPriority w:val="1"/>
    <w:rsid w:val="00B43F0E"/>
    <w:rPr>
      <w:vertAlign w:val="superscript"/>
    </w:rPr>
  </w:style>
  <w:style w:type="table" w:styleId="TableGrid">
    <w:name w:val="Table Grid"/>
    <w:basedOn w:val="TableNormal"/>
    <w:uiPriority w:val="59"/>
    <w:rsid w:val="00B43F0E"/>
    <w:pPr>
      <w:spacing w:after="0" w:line="240" w:lineRule="auto"/>
      <w:ind w:left="85" w:right="85"/>
    </w:pPr>
    <w:rPr>
      <w:rFonts w:ascii="Arial" w:eastAsia="Arial" w:hAnsi="Arial" w:cs="Times New Roman"/>
      <w:kern w:val="0"/>
      <w:sz w:val="20"/>
      <w:szCs w:val="20"/>
      <w:lang w:eastAsia="en-GB"/>
      <w14:ligatures w14:val="none"/>
    </w:rPr>
    <w:tblPr>
      <w:tblStyleRowBandSize w:val="1"/>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CellMar>
        <w:left w:w="0" w:type="dxa"/>
        <w:right w:w="0" w:type="dxa"/>
      </w:tblCellMar>
    </w:tblPr>
    <w:tblStylePr w:type="firstRow">
      <w:rPr>
        <w:b/>
      </w:rPr>
      <w:tblPr/>
      <w:tcPr>
        <w:tcBorders>
          <w:insideV w:val="single" w:sz="4" w:space="0" w:color="FFFFFF" w:themeColor="background1"/>
        </w:tcBorders>
        <w:shd w:val="clear" w:color="auto" w:fill="156082" w:themeFill="accent1"/>
      </w:tcPr>
    </w:tblStylePr>
    <w:tblStylePr w:type="firstCol">
      <w:rPr>
        <w:b/>
      </w:rPr>
    </w:tblStylePr>
    <w:tblStylePr w:type="band2Horz">
      <w:tblPr/>
      <w:tcPr>
        <w:shd w:val="clear" w:color="auto" w:fill="C1F0C7" w:themeFill="accent3" w:themeFillTint="33"/>
      </w:tcPr>
    </w:tblStylePr>
  </w:style>
  <w:style w:type="table" w:customStyle="1" w:styleId="TableGridGreen">
    <w:name w:val="Table Grid (Green)"/>
    <w:basedOn w:val="TableGrid"/>
    <w:uiPriority w:val="99"/>
    <w:qFormat/>
    <w:rsid w:val="00B43F0E"/>
    <w:tblPr>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rPr>
        <w:b/>
        <w:color w:val="FFFFFF" w:themeColor="background1"/>
      </w:rPr>
      <w:tblPr/>
      <w:tcPr>
        <w:tcBorders>
          <w:insideV w:val="single" w:sz="8" w:space="0" w:color="FFFFFF" w:themeColor="background1"/>
        </w:tcBorders>
        <w:shd w:val="clear" w:color="auto" w:fill="4EA72E" w:themeFill="accent6"/>
      </w:tcPr>
    </w:tblStylePr>
    <w:tblStylePr w:type="firstCol">
      <w:rPr>
        <w:b/>
      </w:rPr>
    </w:tblStylePr>
    <w:tblStylePr w:type="band2Horz">
      <w:tblPr/>
      <w:tcPr>
        <w:shd w:val="clear" w:color="auto" w:fill="D9F2D0" w:themeFill="accent6" w:themeFillTint="33"/>
      </w:tcPr>
    </w:tblStylePr>
  </w:style>
  <w:style w:type="paragraph" w:styleId="TableofAuthorities">
    <w:name w:val="table of authorities"/>
    <w:basedOn w:val="Normal"/>
    <w:next w:val="Normal"/>
    <w:uiPriority w:val="99"/>
    <w:semiHidden/>
    <w:unhideWhenUsed/>
    <w:rsid w:val="00B43F0E"/>
    <w:pPr>
      <w:spacing w:after="0"/>
      <w:ind w:left="240" w:hanging="240"/>
    </w:pPr>
  </w:style>
  <w:style w:type="paragraph" w:styleId="TableofFigures">
    <w:name w:val="table of figures"/>
    <w:basedOn w:val="Normal"/>
    <w:next w:val="Normal"/>
    <w:uiPriority w:val="99"/>
    <w:semiHidden/>
    <w:unhideWhenUsed/>
    <w:rsid w:val="00B43F0E"/>
    <w:pPr>
      <w:spacing w:after="0"/>
    </w:pPr>
  </w:style>
  <w:style w:type="table" w:customStyle="1" w:styleId="TableStyle1">
    <w:name w:val="Table Style 1"/>
    <w:basedOn w:val="TableNormal"/>
    <w:uiPriority w:val="99"/>
    <w:qFormat/>
    <w:rsid w:val="00B43F0E"/>
    <w:pPr>
      <w:spacing w:after="0" w:line="240" w:lineRule="auto"/>
      <w:ind w:left="85" w:right="85"/>
    </w:pPr>
    <w:rPr>
      <w:rFonts w:ascii="Arial" w:eastAsia="Arial" w:hAnsi="Arial" w:cs="Times New Roman"/>
      <w:color w:val="156082" w:themeColor="accent1"/>
      <w:kern w:val="0"/>
      <w:sz w:val="20"/>
      <w:szCs w:val="20"/>
      <w:lang w:eastAsia="en-GB"/>
      <w14:ligatures w14:val="none"/>
    </w:rPr>
    <w:tblPr>
      <w:tblBorders>
        <w:top w:val="single" w:sz="8" w:space="0" w:color="156082" w:themeColor="accent1"/>
        <w:bottom w:val="single" w:sz="8" w:space="0" w:color="156082" w:themeColor="accent1"/>
      </w:tblBorders>
      <w:tblCellMar>
        <w:left w:w="0" w:type="dxa"/>
        <w:right w:w="0" w:type="dxa"/>
      </w:tblCellMar>
    </w:tblPr>
    <w:tblStylePr w:type="firstRow">
      <w:rPr>
        <w:b/>
      </w:rPr>
      <w:tblPr/>
      <w:tcPr>
        <w:tcBorders>
          <w:bottom w:val="single" w:sz="8" w:space="0" w:color="156082" w:themeColor="accent1"/>
        </w:tcBorders>
      </w:tcPr>
    </w:tblStylePr>
    <w:tblStylePr w:type="lastRow">
      <w:rPr>
        <w:b/>
      </w:rPr>
      <w:tblPr/>
      <w:tcPr>
        <w:tcBorders>
          <w:top w:val="single" w:sz="8" w:space="0" w:color="156082" w:themeColor="accent1"/>
        </w:tcBorders>
      </w:tcPr>
    </w:tblStylePr>
  </w:style>
  <w:style w:type="table" w:customStyle="1" w:styleId="TableStyle1Green">
    <w:name w:val="Table Style 1 (Green)"/>
    <w:basedOn w:val="TableStyle1"/>
    <w:uiPriority w:val="99"/>
    <w:qFormat/>
    <w:rsid w:val="00B43F0E"/>
    <w:rPr>
      <w:color w:val="4EA72E" w:themeColor="accent6"/>
    </w:rPr>
    <w:tblPr>
      <w:tblBorders>
        <w:top w:val="single" w:sz="8" w:space="0" w:color="4EA72E" w:themeColor="accent6"/>
        <w:bottom w:val="single" w:sz="4" w:space="0" w:color="4EA72E" w:themeColor="accent6"/>
      </w:tblBorders>
    </w:tblPr>
    <w:tblStylePr w:type="firstRow">
      <w:rPr>
        <w:b/>
      </w:rPr>
      <w:tblPr/>
      <w:tcPr>
        <w:tcBorders>
          <w:bottom w:val="single" w:sz="4" w:space="0" w:color="4EA72E" w:themeColor="accent6"/>
        </w:tcBorders>
      </w:tcPr>
    </w:tblStylePr>
    <w:tblStylePr w:type="lastRow">
      <w:rPr>
        <w:b/>
      </w:rPr>
      <w:tblPr/>
      <w:tcPr>
        <w:tcBorders>
          <w:top w:val="single" w:sz="4" w:space="0" w:color="4EA72E" w:themeColor="accent6"/>
        </w:tcBorders>
      </w:tcPr>
    </w:tblStylePr>
  </w:style>
  <w:style w:type="table" w:customStyle="1" w:styleId="TableStyle2">
    <w:name w:val="Table Style 2"/>
    <w:basedOn w:val="TableNormal"/>
    <w:uiPriority w:val="99"/>
    <w:qFormat/>
    <w:rsid w:val="00B43F0E"/>
    <w:pPr>
      <w:spacing w:after="0" w:line="240" w:lineRule="auto"/>
    </w:pPr>
    <w:rPr>
      <w:rFonts w:ascii="Arial" w:eastAsia="Arial" w:hAnsi="Arial" w:cs="Times New Roman"/>
      <w:kern w:val="0"/>
      <w:sz w:val="20"/>
      <w:szCs w:val="20"/>
      <w:lang w:eastAsia="en-GB"/>
      <w14:ligatures w14:val="none"/>
    </w:rPr>
    <w:tblPr>
      <w:tblBorders>
        <w:top w:val="single" w:sz="4" w:space="0" w:color="auto"/>
        <w:bottom w:val="single" w:sz="4" w:space="0" w:color="auto"/>
      </w:tblBorders>
      <w:tblCellMar>
        <w:top w:w="113" w:type="dxa"/>
        <w:left w:w="0" w:type="dxa"/>
        <w:bottom w:w="113" w:type="dxa"/>
        <w:right w:w="0" w:type="dxa"/>
      </w:tblCellMar>
    </w:tblPr>
    <w:tblStylePr w:type="firstRow">
      <w:tblPr/>
      <w:tcPr>
        <w:tcBorders>
          <w:bottom w:val="single" w:sz="4" w:space="0" w:color="auto"/>
        </w:tcBorders>
      </w:tcPr>
    </w:tblStylePr>
  </w:style>
  <w:style w:type="table" w:customStyle="1" w:styleId="TableStyle3">
    <w:name w:val="Table Style 3"/>
    <w:basedOn w:val="TableNormal"/>
    <w:uiPriority w:val="99"/>
    <w:qFormat/>
    <w:rsid w:val="00B43F0E"/>
    <w:pPr>
      <w:spacing w:after="0" w:line="240" w:lineRule="auto"/>
      <w:ind w:left="85" w:right="85"/>
      <w:jc w:val="right"/>
    </w:pPr>
    <w:rPr>
      <w:rFonts w:ascii="Arial" w:eastAsia="Arial" w:hAnsi="Arial" w:cs="Times New Roman"/>
      <w:color w:val="000000" w:themeColor="text1"/>
      <w:kern w:val="0"/>
      <w:sz w:val="20"/>
      <w:szCs w:val="20"/>
      <w:lang w:eastAsia="en-GB"/>
      <w14:ligatures w14:val="none"/>
    </w:rPr>
    <w:tblPr>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tblBorders>
      <w:tblCellMar>
        <w:left w:w="0" w:type="dxa"/>
        <w:right w:w="0" w:type="dxa"/>
      </w:tblCellMar>
    </w:tblPr>
    <w:tblStylePr w:type="firstRow">
      <w:rPr>
        <w:b/>
        <w:color w:val="FFFFFF" w:themeColor="background1"/>
      </w:rPr>
      <w:tblPr/>
      <w:tcPr>
        <w:shd w:val="clear" w:color="auto" w:fill="156082" w:themeFill="accent1"/>
      </w:tcPr>
    </w:tblStylePr>
    <w:tblStylePr w:type="firstCol">
      <w:pPr>
        <w:wordWrap/>
        <w:jc w:val="left"/>
      </w:pPr>
      <w:rPr>
        <w:b/>
      </w:rPr>
    </w:tblStylePr>
  </w:style>
  <w:style w:type="table" w:customStyle="1" w:styleId="TableStyle3Green">
    <w:name w:val="Table Style 3 (Green)"/>
    <w:basedOn w:val="TableStyle3"/>
    <w:uiPriority w:val="99"/>
    <w:qFormat/>
    <w:rsid w:val="00B43F0E"/>
    <w:tblPr>
      <w:tblStyleRow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tblBorders>
    </w:tblPr>
    <w:tcPr>
      <w:shd w:val="clear" w:color="auto" w:fill="FFFFFF" w:themeFill="background1"/>
    </w:tcPr>
    <w:tblStylePr w:type="firstRow">
      <w:rPr>
        <w:b/>
        <w:color w:val="FFFFFF" w:themeColor="background1"/>
      </w:rPr>
      <w:tblPr/>
      <w:tcPr>
        <w:shd w:val="clear" w:color="auto" w:fill="4EA72E" w:themeFill="accent6"/>
      </w:tcPr>
    </w:tblStylePr>
    <w:tblStylePr w:type="firstCol">
      <w:pPr>
        <w:wordWrap/>
        <w:jc w:val="left"/>
      </w:pPr>
      <w:rPr>
        <w:b/>
      </w:rPr>
    </w:tblStylePr>
    <w:tblStylePr w:type="band1Horz">
      <w:pPr>
        <w:wordWrap/>
        <w:ind w:leftChars="0" w:left="85" w:rightChars="0" w:right="85"/>
      </w:pPr>
    </w:tblStylePr>
  </w:style>
  <w:style w:type="table" w:customStyle="1" w:styleId="TableStyle31">
    <w:name w:val="Table Style 31"/>
    <w:basedOn w:val="TableNormal"/>
    <w:uiPriority w:val="99"/>
    <w:qFormat/>
    <w:rsid w:val="00B43F0E"/>
    <w:pPr>
      <w:spacing w:after="0" w:line="240" w:lineRule="auto"/>
      <w:ind w:left="85" w:right="85"/>
      <w:jc w:val="right"/>
    </w:pPr>
    <w:rPr>
      <w:rFonts w:ascii="Arial" w:eastAsia="Arial" w:hAnsi="Arial" w:cs="Times New Roman"/>
      <w:color w:val="000000"/>
      <w:kern w:val="0"/>
      <w:sz w:val="20"/>
      <w:szCs w:val="20"/>
      <w14:ligatures w14:val="none"/>
    </w:rPr>
    <w:tblPr>
      <w:tblBorders>
        <w:top w:val="single" w:sz="8" w:space="0" w:color="034B89"/>
        <w:left w:val="single" w:sz="8" w:space="0" w:color="034B89"/>
        <w:bottom w:val="single" w:sz="8" w:space="0" w:color="034B89"/>
        <w:right w:val="single" w:sz="8" w:space="0" w:color="034B89"/>
        <w:insideH w:val="single" w:sz="8" w:space="0" w:color="034B89"/>
      </w:tblBorders>
      <w:tblCellMar>
        <w:left w:w="0" w:type="dxa"/>
        <w:right w:w="0" w:type="dxa"/>
      </w:tblCellMar>
    </w:tblPr>
    <w:tblStylePr w:type="firstRow">
      <w:rPr>
        <w:b/>
        <w:color w:val="FFFFFF"/>
      </w:rPr>
      <w:tblPr/>
      <w:tcPr>
        <w:shd w:val="clear" w:color="auto" w:fill="034B89"/>
      </w:tcPr>
    </w:tblStylePr>
    <w:tblStylePr w:type="firstCol">
      <w:pPr>
        <w:wordWrap/>
        <w:jc w:val="left"/>
      </w:pPr>
      <w:rPr>
        <w:b/>
      </w:rPr>
    </w:tblStylePr>
  </w:style>
  <w:style w:type="table" w:customStyle="1" w:styleId="TableStyle4">
    <w:name w:val="Table Style 4"/>
    <w:basedOn w:val="BlankTableStyle"/>
    <w:uiPriority w:val="99"/>
    <w:qFormat/>
    <w:rsid w:val="00B43F0E"/>
    <w:pPr>
      <w:ind w:left="85" w:right="85"/>
    </w:pPr>
    <w:rPr>
      <w:sz w:val="24"/>
    </w:rPr>
    <w:tblPr>
      <w:tblStyleRowBandSize w:val="1"/>
      <w:tblBorders>
        <w:top w:val="single" w:sz="4" w:space="0" w:color="78004F"/>
        <w:left w:val="single" w:sz="4" w:space="0" w:color="78004F"/>
        <w:bottom w:val="single" w:sz="4" w:space="0" w:color="78004F"/>
        <w:right w:val="single" w:sz="4" w:space="0" w:color="78004F"/>
        <w:insideH w:val="single" w:sz="4" w:space="0" w:color="78004F"/>
        <w:insideV w:val="single" w:sz="4" w:space="0" w:color="78004F"/>
      </w:tblBorders>
    </w:tblPr>
    <w:tcPr>
      <w:shd w:val="clear" w:color="auto" w:fill="FFFFFF" w:themeFill="background1"/>
    </w:tcPr>
    <w:tblStylePr w:type="firstRow">
      <w:rPr>
        <w:rFonts w:ascii="Arial" w:hAnsi="Arial"/>
        <w:b/>
        <w:color w:val="FFFFFF" w:themeColor="background1"/>
        <w:sz w:val="28"/>
        <w:u w:val="none" w:color="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78004F"/>
      </w:tcPr>
    </w:tblStylePr>
    <w:tblStylePr w:type="firstCol">
      <w:rPr>
        <w:b/>
      </w:rPr>
    </w:tblStylePr>
    <w:tblStylePr w:type="band1Horz">
      <w:tblPr/>
      <w:tcPr>
        <w:shd w:val="clear" w:color="auto" w:fill="FFFFFF" w:themeFill="background1"/>
      </w:tcPr>
    </w:tblStylePr>
  </w:style>
  <w:style w:type="table" w:customStyle="1" w:styleId="TableStyle4Green">
    <w:name w:val="Table Style 4 (Green)"/>
    <w:basedOn w:val="TableStyle4"/>
    <w:uiPriority w:val="99"/>
    <w:qFormat/>
    <w:rsid w:val="00B43F0E"/>
    <w:tblPr>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rPr>
        <w:rFonts w:ascii="Arial" w:hAnsi="Arial"/>
        <w:b/>
        <w:color w:val="FFFFFF" w:themeColor="background1"/>
        <w:sz w:val="28"/>
        <w:u w:val="none" w:color="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4EA72E" w:themeFill="accent6"/>
      </w:tcPr>
    </w:tblStylePr>
    <w:tblStylePr w:type="firstCol">
      <w:rPr>
        <w:b/>
      </w:rPr>
    </w:tblStylePr>
    <w:tblStylePr w:type="band1Horz">
      <w:pPr>
        <w:wordWrap/>
        <w:ind w:leftChars="0" w:left="85" w:rightChars="0" w:right="85"/>
      </w:pPr>
      <w:tblPr/>
      <w:tcPr>
        <w:shd w:val="clear" w:color="auto" w:fill="FFFFFF" w:themeFill="background1"/>
      </w:tcPr>
    </w:tblStylePr>
  </w:style>
  <w:style w:type="paragraph" w:customStyle="1" w:styleId="Thirdheading">
    <w:name w:val="Third heading"/>
    <w:autoRedefine/>
    <w:rsid w:val="00B43F0E"/>
    <w:pPr>
      <w:spacing w:before="120" w:after="40" w:line="240" w:lineRule="auto"/>
      <w:outlineLvl w:val="3"/>
    </w:pPr>
    <w:rPr>
      <w:rFonts w:ascii="Arial" w:eastAsia="Arial" w:hAnsi="Arial" w:cs="Times New Roman"/>
      <w:b/>
      <w:kern w:val="0"/>
      <w:sz w:val="26"/>
      <w:szCs w:val="22"/>
      <w14:ligatures w14:val="none"/>
    </w:rPr>
  </w:style>
  <w:style w:type="paragraph" w:styleId="TOAHeading">
    <w:name w:val="toa heading"/>
    <w:basedOn w:val="Normal"/>
    <w:next w:val="Normal"/>
    <w:uiPriority w:val="99"/>
    <w:semiHidden/>
    <w:unhideWhenUsed/>
    <w:rsid w:val="00B43F0E"/>
    <w:pPr>
      <w:spacing w:before="120"/>
    </w:pPr>
    <w:rPr>
      <w:rFonts w:asciiTheme="majorHAnsi" w:eastAsiaTheme="majorEastAsia" w:hAnsiTheme="majorHAnsi" w:cstheme="majorBidi"/>
      <w:b/>
      <w:bCs/>
      <w:szCs w:val="24"/>
    </w:rPr>
  </w:style>
  <w:style w:type="paragraph" w:styleId="TOC1">
    <w:name w:val="toc 1"/>
    <w:basedOn w:val="Normal"/>
    <w:next w:val="Normal"/>
    <w:autoRedefine/>
    <w:uiPriority w:val="39"/>
    <w:rsid w:val="00B43F0E"/>
    <w:pPr>
      <w:tabs>
        <w:tab w:val="right" w:leader="dot" w:pos="9621"/>
      </w:tabs>
      <w:spacing w:after="100"/>
    </w:pPr>
  </w:style>
  <w:style w:type="paragraph" w:styleId="TOC2">
    <w:name w:val="toc 2"/>
    <w:basedOn w:val="Normal"/>
    <w:next w:val="Normal"/>
    <w:autoRedefine/>
    <w:uiPriority w:val="39"/>
    <w:rsid w:val="00B43F0E"/>
    <w:pPr>
      <w:spacing w:after="100"/>
      <w:ind w:left="220"/>
    </w:pPr>
  </w:style>
  <w:style w:type="paragraph" w:styleId="TOC3">
    <w:name w:val="toc 3"/>
    <w:basedOn w:val="Normal"/>
    <w:next w:val="Normal"/>
    <w:autoRedefine/>
    <w:uiPriority w:val="39"/>
    <w:rsid w:val="00B43F0E"/>
    <w:pPr>
      <w:spacing w:after="100"/>
      <w:ind w:left="440"/>
    </w:pPr>
    <w:rPr>
      <w:sz w:val="18"/>
    </w:rPr>
  </w:style>
  <w:style w:type="paragraph" w:styleId="TOC4">
    <w:name w:val="toc 4"/>
    <w:basedOn w:val="Normal"/>
    <w:next w:val="Normal"/>
    <w:autoRedefine/>
    <w:uiPriority w:val="39"/>
    <w:semiHidden/>
    <w:unhideWhenUsed/>
    <w:rsid w:val="00B43F0E"/>
    <w:pPr>
      <w:spacing w:after="100"/>
      <w:ind w:left="660"/>
    </w:pPr>
  </w:style>
  <w:style w:type="paragraph" w:styleId="TOC5">
    <w:name w:val="toc 5"/>
    <w:basedOn w:val="Normal"/>
    <w:next w:val="Normal"/>
    <w:autoRedefine/>
    <w:uiPriority w:val="39"/>
    <w:semiHidden/>
    <w:unhideWhenUsed/>
    <w:rsid w:val="00B43F0E"/>
    <w:pPr>
      <w:spacing w:after="100"/>
      <w:ind w:left="960"/>
    </w:pPr>
  </w:style>
  <w:style w:type="paragraph" w:styleId="TOC6">
    <w:name w:val="toc 6"/>
    <w:basedOn w:val="Normal"/>
    <w:next w:val="Normal"/>
    <w:autoRedefine/>
    <w:uiPriority w:val="39"/>
    <w:semiHidden/>
    <w:unhideWhenUsed/>
    <w:rsid w:val="00B43F0E"/>
    <w:pPr>
      <w:spacing w:after="100"/>
      <w:ind w:left="1200"/>
    </w:pPr>
  </w:style>
  <w:style w:type="paragraph" w:styleId="TOC7">
    <w:name w:val="toc 7"/>
    <w:basedOn w:val="Normal"/>
    <w:next w:val="Normal"/>
    <w:autoRedefine/>
    <w:uiPriority w:val="39"/>
    <w:semiHidden/>
    <w:unhideWhenUsed/>
    <w:rsid w:val="00B43F0E"/>
    <w:pPr>
      <w:spacing w:after="100"/>
      <w:ind w:left="1440"/>
    </w:pPr>
  </w:style>
  <w:style w:type="paragraph" w:styleId="TOC8">
    <w:name w:val="toc 8"/>
    <w:basedOn w:val="Normal"/>
    <w:next w:val="Normal"/>
    <w:autoRedefine/>
    <w:uiPriority w:val="39"/>
    <w:semiHidden/>
    <w:unhideWhenUsed/>
    <w:rsid w:val="00B43F0E"/>
    <w:pPr>
      <w:spacing w:after="100"/>
      <w:ind w:left="1680"/>
    </w:pPr>
  </w:style>
  <w:style w:type="paragraph" w:styleId="TOC9">
    <w:name w:val="toc 9"/>
    <w:basedOn w:val="Normal"/>
    <w:next w:val="Normal"/>
    <w:autoRedefine/>
    <w:uiPriority w:val="39"/>
    <w:semiHidden/>
    <w:unhideWhenUsed/>
    <w:rsid w:val="00B43F0E"/>
    <w:pPr>
      <w:spacing w:after="100"/>
      <w:ind w:left="1760"/>
    </w:pPr>
  </w:style>
  <w:style w:type="paragraph" w:styleId="TOCHeading">
    <w:name w:val="TOC Heading"/>
    <w:basedOn w:val="Heading1"/>
    <w:next w:val="Normal"/>
    <w:autoRedefine/>
    <w:uiPriority w:val="39"/>
    <w:unhideWhenUsed/>
    <w:qFormat/>
    <w:rsid w:val="00B43F0E"/>
    <w:pPr>
      <w:spacing w:before="240" w:after="0" w:line="259" w:lineRule="auto"/>
      <w:outlineLvl w:val="9"/>
    </w:pPr>
    <w:rPr>
      <w:rFonts w:asciiTheme="majorHAnsi" w:eastAsiaTheme="majorEastAsia" w:hAnsiTheme="majorHAnsi" w:cstheme="majorBidi"/>
      <w:b w:val="0"/>
      <w:bCs w:val="0"/>
      <w:sz w:val="32"/>
      <w:szCs w:val="32"/>
      <w:lang w:val="en-US"/>
    </w:rPr>
  </w:style>
  <w:style w:type="character" w:styleId="UnresolvedMention">
    <w:name w:val="Unresolved Mention"/>
    <w:basedOn w:val="DefaultParagraphFont"/>
    <w:uiPriority w:val="99"/>
    <w:semiHidden/>
    <w:unhideWhenUsed/>
    <w:rsid w:val="00B43F0E"/>
    <w:rPr>
      <w:color w:val="605E5C"/>
      <w:shd w:val="clear" w:color="auto" w:fill="E1DFDD"/>
    </w:rPr>
  </w:style>
  <w:style w:type="character" w:customStyle="1" w:styleId="UnresolvedMention1">
    <w:name w:val="Unresolved Mention1"/>
    <w:basedOn w:val="DefaultParagraphFont"/>
    <w:uiPriority w:val="99"/>
    <w:semiHidden/>
    <w:unhideWhenUsed/>
    <w:rsid w:val="00B43F0E"/>
    <w:rPr>
      <w:color w:val="605E5C"/>
      <w:shd w:val="clear" w:color="auto" w:fill="E1DFDD"/>
    </w:rPr>
  </w:style>
  <w:style w:type="character" w:customStyle="1" w:styleId="word-hide">
    <w:name w:val="word-hide"/>
    <w:basedOn w:val="DefaultParagraphFont"/>
    <w:rsid w:val="00B43F0E"/>
  </w:style>
  <w:style w:type="character" w:customStyle="1" w:styleId="gnt5geqbo5b">
    <w:name w:val="gnt5geqbo5b"/>
    <w:basedOn w:val="DefaultParagraphFont"/>
    <w:rsid w:val="005C3334"/>
  </w:style>
  <w:style w:type="paragraph" w:styleId="Revision">
    <w:name w:val="Revision"/>
    <w:hidden/>
    <w:uiPriority w:val="99"/>
    <w:semiHidden/>
    <w:rsid w:val="006D03BD"/>
    <w:pPr>
      <w:spacing w:after="0" w:line="240" w:lineRule="auto"/>
    </w:pPr>
    <w:rPr>
      <w:rFonts w:ascii="Arial" w:eastAsia="Arial" w:hAnsi="Arial" w:cs="Times New Roman"/>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317ED-9AB5-4C2B-947F-6645D0DD3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21598</Words>
  <Characters>123109</Characters>
  <Application>Microsoft Office Word</Application>
  <DocSecurity>0</DocSecurity>
  <Lines>1025</Lines>
  <Paragraphs>288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Maka</dc:creator>
  <cp:keywords/>
  <dc:description/>
  <cp:lastModifiedBy>Anna Maka</cp:lastModifiedBy>
  <cp:revision>2</cp:revision>
  <cp:lastPrinted>2026-06-29T10:09:00Z</cp:lastPrinted>
  <dcterms:created xsi:type="dcterms:W3CDTF">2026-06-30T12:48:00Z</dcterms:created>
  <dcterms:modified xsi:type="dcterms:W3CDTF">2026-06-30T12:48:00Z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4a068afd-c227-4303-8c12-746dc138bf6a</vt:lpwstr>
  </property>
  <property fmtid="{D5CDD505-2E9C-101B-9397-08002B2CF9AE}" pid="3" name="ZOTERO_PREF_1">
    <vt:lpwstr>&lt;data data-version="3" zotero-version="7.0.32"&gt;&lt;session id="wDvE5efK"/&gt;&lt;style id="http://www.zotero.org/styles/apa" locale="en-GB" hasBibliography="1" bibliographyStyleHasBeenSet="1"/&gt;&lt;prefs&gt;&lt;pref name="fieldType" value="Field"/&gt;&lt;pref name="automaticJourn</vt:lpwstr>
  </property>
  <property fmtid="{D5CDD505-2E9C-101B-9397-08002B2CF9AE}" pid="4" name="ZOTERO_PREF_2">
    <vt:lpwstr>alAbbreviations" value="true"/&gt;&lt;/prefs&gt;&lt;/data&gt;</vt:lpwstr>
  </property>
</Properties>
</file>